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E42A" w14:textId="51C5D01C" w:rsidR="003D14B2" w:rsidRPr="00C55ED8" w:rsidRDefault="00C55ED8">
      <w:pPr>
        <w:rPr>
          <w:rFonts w:ascii="Arial" w:hAnsi="Arial" w:cs="Arial"/>
        </w:rPr>
      </w:pPr>
      <w:r w:rsidRPr="00C55ED8">
        <w:rPr>
          <w:rFonts w:ascii="Arial" w:hAnsi="Arial" w:cs="Arial"/>
          <w:b/>
          <w:bCs/>
        </w:rPr>
        <w:t xml:space="preserve">Tableau </w:t>
      </w:r>
      <w:r w:rsidR="002C6E42" w:rsidRPr="00C55ED8">
        <w:rPr>
          <w:rFonts w:ascii="Arial" w:hAnsi="Arial" w:cs="Arial"/>
          <w:b/>
          <w:bCs/>
        </w:rPr>
        <w:t>FFOM de l’implantation d’une symbiose industrielle</w:t>
      </w:r>
    </w:p>
    <w:tbl>
      <w:tblPr>
        <w:tblStyle w:val="Grilledutableau"/>
        <w:tblW w:w="9474" w:type="dxa"/>
        <w:tblInd w:w="9" w:type="dxa"/>
        <w:tblBorders>
          <w:top w:val="single" w:sz="4" w:space="0" w:color="00A759"/>
          <w:left w:val="single" w:sz="4" w:space="0" w:color="00A759"/>
          <w:bottom w:val="single" w:sz="4" w:space="0" w:color="00A759"/>
          <w:right w:val="single" w:sz="4" w:space="0" w:color="00A759"/>
          <w:insideH w:val="single" w:sz="4" w:space="0" w:color="00A759"/>
          <w:insideV w:val="single" w:sz="4" w:space="0" w:color="00A759"/>
        </w:tblBorders>
        <w:tblLook w:val="04A0" w:firstRow="1" w:lastRow="0" w:firstColumn="1" w:lastColumn="0" w:noHBand="0" w:noVBand="1"/>
      </w:tblPr>
      <w:tblGrid>
        <w:gridCol w:w="490"/>
        <w:gridCol w:w="490"/>
        <w:gridCol w:w="8494"/>
      </w:tblGrid>
      <w:tr w:rsidR="002C6E42" w:rsidRPr="00C55ED8" w14:paraId="4FE85B33" w14:textId="77777777" w:rsidTr="00DB65F8">
        <w:trPr>
          <w:cantSplit/>
          <w:trHeight w:val="1149"/>
        </w:trPr>
        <w:tc>
          <w:tcPr>
            <w:tcW w:w="490" w:type="dxa"/>
            <w:vMerge w:val="restart"/>
            <w:tcBorders>
              <w:top w:val="single" w:sz="12" w:space="0" w:color="00A759"/>
              <w:left w:val="nil"/>
              <w:bottom w:val="single" w:sz="12" w:space="0" w:color="FFFFFF" w:themeColor="background1"/>
              <w:right w:val="single" w:sz="12" w:space="0" w:color="00A759"/>
            </w:tcBorders>
            <w:shd w:val="clear" w:color="auto" w:fill="00A759"/>
            <w:textDirection w:val="btLr"/>
          </w:tcPr>
          <w:p w14:paraId="206CB371" w14:textId="77777777" w:rsidR="002C6E42" w:rsidRPr="00C55ED8" w:rsidRDefault="002C6E42" w:rsidP="00DB65F8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55ED8">
              <w:rPr>
                <w:rFonts w:ascii="Arial" w:hAnsi="Arial" w:cs="Arial"/>
                <w:b/>
                <w:bCs/>
                <w:color w:val="FFFFFF" w:themeColor="background1"/>
              </w:rPr>
              <w:t>INTERNE</w:t>
            </w:r>
          </w:p>
        </w:tc>
        <w:tc>
          <w:tcPr>
            <w:tcW w:w="490" w:type="dxa"/>
            <w:tcBorders>
              <w:top w:val="single" w:sz="12" w:space="0" w:color="00A759"/>
              <w:left w:val="single" w:sz="12" w:space="0" w:color="00A759"/>
              <w:bottom w:val="single" w:sz="4" w:space="0" w:color="00A759"/>
            </w:tcBorders>
            <w:shd w:val="clear" w:color="auto" w:fill="auto"/>
            <w:textDirection w:val="btLr"/>
            <w:vAlign w:val="center"/>
          </w:tcPr>
          <w:p w14:paraId="052CCC99" w14:textId="77777777" w:rsidR="002C6E42" w:rsidRPr="00C55ED8" w:rsidRDefault="002C6E42" w:rsidP="00DB65F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55ED8">
              <w:rPr>
                <w:rFonts w:ascii="Arial" w:hAnsi="Arial" w:cs="Arial"/>
                <w:b/>
              </w:rPr>
              <w:t>Forces</w:t>
            </w:r>
          </w:p>
        </w:tc>
        <w:tc>
          <w:tcPr>
            <w:tcW w:w="8494" w:type="dxa"/>
            <w:tcBorders>
              <w:top w:val="single" w:sz="12" w:space="0" w:color="00A759"/>
              <w:bottom w:val="single" w:sz="4" w:space="0" w:color="00A759"/>
              <w:right w:val="single" w:sz="12" w:space="0" w:color="00A759"/>
            </w:tcBorders>
          </w:tcPr>
          <w:p w14:paraId="22B1B531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Engagement et leadership des dirigeants de certaines entreprises (G)</w:t>
            </w:r>
          </w:p>
          <w:p w14:paraId="1680E7B4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Intérêt de certaines entreprises envers l’économie circulaire (G)</w:t>
            </w:r>
          </w:p>
          <w:p w14:paraId="6A45A221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Motivation des entreprises pour réduire les coûts de GMR (E)</w:t>
            </w:r>
          </w:p>
          <w:p w14:paraId="419B8595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Synergie déjà implantée (T)</w:t>
            </w:r>
          </w:p>
          <w:p w14:paraId="40EDAB01" w14:textId="77777777" w:rsidR="00C55ED8" w:rsidRPr="00C55ED8" w:rsidRDefault="00C55ED8" w:rsidP="00C55ED8">
            <w:pPr>
              <w:pStyle w:val="Puce"/>
              <w:numPr>
                <w:ilvl w:val="0"/>
                <w:numId w:val="0"/>
              </w:numPr>
              <w:spacing w:line="240" w:lineRule="auto"/>
              <w:ind w:left="357"/>
              <w:rPr>
                <w:rFonts w:cs="Arial"/>
                <w:sz w:val="22"/>
              </w:rPr>
            </w:pPr>
          </w:p>
          <w:p w14:paraId="64209A21" w14:textId="77777777" w:rsidR="00C55ED8" w:rsidRPr="00C55ED8" w:rsidRDefault="00C55ED8" w:rsidP="00C55ED8">
            <w:pPr>
              <w:pStyle w:val="Puce"/>
              <w:numPr>
                <w:ilvl w:val="0"/>
                <w:numId w:val="0"/>
              </w:numPr>
              <w:spacing w:line="240" w:lineRule="auto"/>
              <w:ind w:left="357"/>
              <w:rPr>
                <w:rFonts w:cs="Arial"/>
                <w:sz w:val="22"/>
              </w:rPr>
            </w:pPr>
          </w:p>
          <w:p w14:paraId="0C69BF9B" w14:textId="77777777" w:rsidR="00C55ED8" w:rsidRPr="00C55ED8" w:rsidRDefault="00C55ED8" w:rsidP="00C55ED8">
            <w:pPr>
              <w:pStyle w:val="Puce"/>
              <w:numPr>
                <w:ilvl w:val="0"/>
                <w:numId w:val="0"/>
              </w:numPr>
              <w:spacing w:line="240" w:lineRule="auto"/>
              <w:ind w:left="357"/>
              <w:rPr>
                <w:rFonts w:cs="Arial"/>
                <w:sz w:val="22"/>
              </w:rPr>
            </w:pPr>
          </w:p>
        </w:tc>
      </w:tr>
      <w:tr w:rsidR="002C6E42" w:rsidRPr="00C55ED8" w14:paraId="16DA4BE0" w14:textId="77777777" w:rsidTr="00DB65F8">
        <w:trPr>
          <w:cantSplit/>
          <w:trHeight w:val="1880"/>
        </w:trPr>
        <w:tc>
          <w:tcPr>
            <w:tcW w:w="490" w:type="dxa"/>
            <w:vMerge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00A759"/>
            </w:tcBorders>
            <w:shd w:val="clear" w:color="auto" w:fill="00A759"/>
          </w:tcPr>
          <w:p w14:paraId="1FFF8EB8" w14:textId="77777777" w:rsidR="002C6E42" w:rsidRPr="00C55ED8" w:rsidRDefault="002C6E42" w:rsidP="00DB65F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490" w:type="dxa"/>
            <w:tcBorders>
              <w:top w:val="single" w:sz="4" w:space="0" w:color="00A759"/>
              <w:left w:val="single" w:sz="12" w:space="0" w:color="00A759"/>
              <w:bottom w:val="single" w:sz="4" w:space="0" w:color="00A759"/>
              <w:right w:val="single" w:sz="4" w:space="0" w:color="00A759"/>
            </w:tcBorders>
            <w:shd w:val="clear" w:color="auto" w:fill="auto"/>
            <w:textDirection w:val="btLr"/>
            <w:vAlign w:val="center"/>
          </w:tcPr>
          <w:p w14:paraId="2A12DE7E" w14:textId="77777777" w:rsidR="002C6E42" w:rsidRPr="00C55ED8" w:rsidRDefault="002C6E42" w:rsidP="00DB65F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55ED8">
              <w:rPr>
                <w:rFonts w:ascii="Arial" w:hAnsi="Arial" w:cs="Arial"/>
                <w:b/>
              </w:rPr>
              <w:t>Faiblesses</w:t>
            </w:r>
          </w:p>
        </w:tc>
        <w:tc>
          <w:tcPr>
            <w:tcW w:w="8494" w:type="dxa"/>
            <w:tcBorders>
              <w:top w:val="single" w:sz="4" w:space="0" w:color="00A759"/>
              <w:left w:val="single" w:sz="4" w:space="0" w:color="00A759"/>
              <w:bottom w:val="single" w:sz="4" w:space="0" w:color="00A759"/>
              <w:right w:val="single" w:sz="12" w:space="0" w:color="00A759"/>
            </w:tcBorders>
          </w:tcPr>
          <w:p w14:paraId="30EE63B6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Absence d’analyse des coûts et des flux des matières pour chaque entreprise (T)</w:t>
            </w:r>
          </w:p>
          <w:p w14:paraId="44741216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Absence d’étude de caractérisation des</w:t>
            </w:r>
            <w:r w:rsidRPr="00C55ED8" w:rsidDel="00A906A8">
              <w:rPr>
                <w:rFonts w:cs="Arial"/>
                <w:sz w:val="22"/>
              </w:rPr>
              <w:t xml:space="preserve"> </w:t>
            </w:r>
            <w:r w:rsidRPr="00C55ED8">
              <w:rPr>
                <w:rFonts w:cs="Arial"/>
                <w:sz w:val="22"/>
              </w:rPr>
              <w:t>matières résiduelles des entreprises (T)</w:t>
            </w:r>
          </w:p>
          <w:p w14:paraId="33E6AF15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Désengagement des entreprises si le projet de symbiose industrielle ne leur rapporte pas de résultats concrets rapidement (E)</w:t>
            </w:r>
          </w:p>
          <w:p w14:paraId="33D79158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Logistique et coûts du transport des matières résiduelles (Log) (E)</w:t>
            </w:r>
          </w:p>
          <w:p w14:paraId="6FEFB934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Manque de ressources humaines pour porter les mandats en lien avec la symbiose industrielle (RH)</w:t>
            </w:r>
          </w:p>
          <w:p w14:paraId="5AA0F0BB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Manque de temps pour s’impliquer dans des projets de symbiose industrielle (G)</w:t>
            </w:r>
          </w:p>
          <w:p w14:paraId="6B40250D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Gestion des matières résiduelles n’est pas souvent une priorité pour les petites et moyennes entreprises (PME) (G)</w:t>
            </w:r>
          </w:p>
        </w:tc>
      </w:tr>
      <w:tr w:rsidR="002C6E42" w:rsidRPr="00C55ED8" w14:paraId="72601C56" w14:textId="77777777" w:rsidTr="00DB65F8">
        <w:trPr>
          <w:cantSplit/>
          <w:trHeight w:val="1880"/>
        </w:trPr>
        <w:tc>
          <w:tcPr>
            <w:tcW w:w="490" w:type="dxa"/>
            <w:vMerge w:val="restart"/>
            <w:tcBorders>
              <w:top w:val="single" w:sz="12" w:space="0" w:color="FFFFFF" w:themeColor="background1"/>
              <w:left w:val="nil"/>
              <w:right w:val="single" w:sz="12" w:space="0" w:color="00A759"/>
            </w:tcBorders>
            <w:shd w:val="clear" w:color="auto" w:fill="00A759"/>
            <w:textDirection w:val="btLr"/>
          </w:tcPr>
          <w:p w14:paraId="4F9D966F" w14:textId="77777777" w:rsidR="002C6E42" w:rsidRPr="00C55ED8" w:rsidRDefault="002C6E42" w:rsidP="00DB65F8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55ED8">
              <w:rPr>
                <w:rFonts w:ascii="Arial" w:hAnsi="Arial" w:cs="Arial"/>
                <w:b/>
                <w:bCs/>
                <w:color w:val="FFFFFF" w:themeColor="background1"/>
              </w:rPr>
              <w:t>EXTERNE</w:t>
            </w:r>
          </w:p>
        </w:tc>
        <w:tc>
          <w:tcPr>
            <w:tcW w:w="490" w:type="dxa"/>
            <w:tcBorders>
              <w:top w:val="single" w:sz="4" w:space="0" w:color="00A759"/>
              <w:left w:val="single" w:sz="12" w:space="0" w:color="00A759"/>
              <w:bottom w:val="single" w:sz="4" w:space="0" w:color="00A759"/>
              <w:right w:val="single" w:sz="4" w:space="0" w:color="00A759"/>
            </w:tcBorders>
            <w:shd w:val="clear" w:color="auto" w:fill="auto"/>
            <w:textDirection w:val="btLr"/>
            <w:vAlign w:val="center"/>
          </w:tcPr>
          <w:p w14:paraId="6BA0F3CB" w14:textId="77777777" w:rsidR="002C6E42" w:rsidRPr="00C55ED8" w:rsidRDefault="002C6E42" w:rsidP="00DB65F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55ED8">
              <w:rPr>
                <w:rFonts w:ascii="Arial" w:hAnsi="Arial" w:cs="Arial"/>
                <w:b/>
              </w:rPr>
              <w:t>Opportunités</w:t>
            </w:r>
          </w:p>
        </w:tc>
        <w:tc>
          <w:tcPr>
            <w:tcW w:w="8494" w:type="dxa"/>
            <w:tcBorders>
              <w:top w:val="single" w:sz="4" w:space="0" w:color="00A759"/>
              <w:left w:val="single" w:sz="4" w:space="0" w:color="00A759"/>
              <w:bottom w:val="single" w:sz="4" w:space="0" w:color="00A759"/>
              <w:right w:val="single" w:sz="12" w:space="0" w:color="00A759"/>
            </w:tcBorders>
          </w:tcPr>
          <w:p w14:paraId="18B599ED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Augmentation de la résilience individuelle et du territoire (E) (S)</w:t>
            </w:r>
          </w:p>
          <w:p w14:paraId="09DED139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Expertise et accompagnement de Synergie Lanaudière et du CTTÉI (T) (S)</w:t>
            </w:r>
          </w:p>
          <w:p w14:paraId="440D2D0E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Gains économiques associés à la réduction des coûts d’élimination des</w:t>
            </w:r>
            <w:r w:rsidRPr="00C55ED8" w:rsidDel="00A906A8">
              <w:rPr>
                <w:rFonts w:cs="Arial"/>
                <w:sz w:val="22"/>
              </w:rPr>
              <w:t xml:space="preserve"> </w:t>
            </w:r>
            <w:r w:rsidRPr="00C55ED8">
              <w:rPr>
                <w:rFonts w:cs="Arial"/>
                <w:sz w:val="22"/>
              </w:rPr>
              <w:t>matières résiduelles (E) (En)</w:t>
            </w:r>
          </w:p>
          <w:p w14:paraId="48865883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Maintien et création d’emplois (E) (S)</w:t>
            </w:r>
          </w:p>
          <w:p w14:paraId="64FE7F0A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Objectifs de réduction des matières résiduelles établis dans la Politique québécoise de gestion de matières résiduelles et dans le PMGMR 2024-2030 (P) (En)</w:t>
            </w:r>
          </w:p>
          <w:p w14:paraId="125CA097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Présence de parties prenantes en lien avec la recherche et le transfert technologique (T) (S)</w:t>
            </w:r>
          </w:p>
          <w:p w14:paraId="0689814C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Renforcement de l’attractivité des parcs industriels de la municipalité (E)</w:t>
            </w:r>
          </w:p>
          <w:p w14:paraId="6431FC2D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Renforcement de relations et de la confiance entre les différentes parties prenantes (S)</w:t>
            </w:r>
          </w:p>
          <w:p w14:paraId="6CA433B2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Volonté politique de la municipalité pour implanter l’économie circulaire sur son territoire à travers la symbiose industrielle (P)</w:t>
            </w:r>
          </w:p>
        </w:tc>
      </w:tr>
      <w:tr w:rsidR="002C6E42" w:rsidRPr="00C55ED8" w14:paraId="7DA9EA21" w14:textId="77777777" w:rsidTr="00DB65F8">
        <w:trPr>
          <w:cantSplit/>
          <w:trHeight w:val="1880"/>
        </w:trPr>
        <w:tc>
          <w:tcPr>
            <w:tcW w:w="490" w:type="dxa"/>
            <w:vMerge/>
            <w:tcBorders>
              <w:left w:val="nil"/>
              <w:bottom w:val="single" w:sz="12" w:space="0" w:color="00A759"/>
              <w:right w:val="single" w:sz="12" w:space="0" w:color="00A759"/>
            </w:tcBorders>
            <w:shd w:val="clear" w:color="auto" w:fill="00A759"/>
          </w:tcPr>
          <w:p w14:paraId="6C2C0600" w14:textId="77777777" w:rsidR="002C6E42" w:rsidRPr="00C55ED8" w:rsidRDefault="002C6E42" w:rsidP="00DB65F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490" w:type="dxa"/>
            <w:tcBorders>
              <w:top w:val="single" w:sz="4" w:space="0" w:color="00A759"/>
              <w:left w:val="single" w:sz="12" w:space="0" w:color="00A759"/>
              <w:bottom w:val="single" w:sz="12" w:space="0" w:color="00A759"/>
              <w:right w:val="single" w:sz="4" w:space="0" w:color="00A759"/>
            </w:tcBorders>
            <w:shd w:val="clear" w:color="auto" w:fill="auto"/>
            <w:textDirection w:val="btLr"/>
            <w:vAlign w:val="center"/>
          </w:tcPr>
          <w:p w14:paraId="6FEF2A74" w14:textId="77777777" w:rsidR="002C6E42" w:rsidRPr="00C55ED8" w:rsidRDefault="002C6E42" w:rsidP="00DB65F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55ED8">
              <w:rPr>
                <w:rFonts w:ascii="Arial" w:hAnsi="Arial" w:cs="Arial"/>
                <w:b/>
              </w:rPr>
              <w:t>Menaces</w:t>
            </w:r>
          </w:p>
        </w:tc>
        <w:tc>
          <w:tcPr>
            <w:tcW w:w="8494" w:type="dxa"/>
            <w:tcBorders>
              <w:top w:val="single" w:sz="4" w:space="0" w:color="00A759"/>
              <w:left w:val="single" w:sz="4" w:space="0" w:color="00A759"/>
              <w:bottom w:val="single" w:sz="12" w:space="0" w:color="00A759"/>
              <w:right w:val="single" w:sz="12" w:space="0" w:color="00A759"/>
            </w:tcBorders>
          </w:tcPr>
          <w:p w14:paraId="453C991B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Coûts de services trop élevés (E)</w:t>
            </w:r>
          </w:p>
          <w:p w14:paraId="40CA691D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Incertitudes liées au gisement de matières premières recyclées (E)</w:t>
            </w:r>
          </w:p>
          <w:p w14:paraId="302F623D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Incertitudes quant à la viabilité économique (E)</w:t>
            </w:r>
          </w:p>
          <w:p w14:paraId="24D89CCC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Manque de confiance entre les parties prenantes (S)</w:t>
            </w:r>
          </w:p>
          <w:p w14:paraId="25040166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Manque d’investissements et d’incitatifs du secteur public et privé (E) (P)</w:t>
            </w:r>
          </w:p>
          <w:p w14:paraId="25B65DE1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Manque de législation contraignante et incitative en GMR (Leg)</w:t>
            </w:r>
          </w:p>
          <w:p w14:paraId="603C4093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Manque de planification stratégique pour la symbiose (G)</w:t>
            </w:r>
          </w:p>
          <w:p w14:paraId="02863E51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Manque de transformateurs et de concentrateurs sur le territoire de la municipalité (Log)</w:t>
            </w:r>
          </w:p>
          <w:p w14:paraId="73116704" w14:textId="77777777" w:rsidR="002C6E42" w:rsidRPr="00C55ED8" w:rsidRDefault="002C6E42" w:rsidP="002C6E42">
            <w:pPr>
              <w:pStyle w:val="Puce"/>
              <w:spacing w:line="240" w:lineRule="auto"/>
              <w:rPr>
                <w:rFonts w:cs="Arial"/>
                <w:sz w:val="22"/>
              </w:rPr>
            </w:pPr>
            <w:r w:rsidRPr="00C55ED8">
              <w:rPr>
                <w:rFonts w:cs="Arial"/>
                <w:sz w:val="22"/>
              </w:rPr>
              <w:t>Risque de perdre l’élan de la symbiose si le porteur du projet manque de ressources (humaines et financières) et d’expertise (E) (RH) (T)</w:t>
            </w:r>
          </w:p>
        </w:tc>
      </w:tr>
    </w:tbl>
    <w:p w14:paraId="7F955F0F" w14:textId="045A892A" w:rsidR="002C6E42" w:rsidRPr="00C55ED8" w:rsidRDefault="002C6E42" w:rsidP="00C55ED8">
      <w:pPr>
        <w:spacing w:line="240" w:lineRule="auto"/>
        <w:rPr>
          <w:rFonts w:ascii="Arial" w:hAnsi="Arial" w:cs="Arial"/>
        </w:rPr>
      </w:pPr>
      <w:r w:rsidRPr="00C55ED8">
        <w:rPr>
          <w:rFonts w:ascii="Arial" w:hAnsi="Arial" w:cs="Arial"/>
          <w:b/>
        </w:rPr>
        <w:t>Légende</w:t>
      </w:r>
      <w:r w:rsidRPr="00C55ED8">
        <w:rPr>
          <w:rFonts w:ascii="Arial" w:hAnsi="Arial" w:cs="Arial"/>
        </w:rPr>
        <w:t> : (E) Économique | (En) Environnemental | (G) Gestion | (Leg) Législatif | (Log) Logistique | (RH) Ressources humaines | (P) Politique | (S) Social | (T) Technique / Technologique</w:t>
      </w:r>
    </w:p>
    <w:sectPr w:rsidR="002C6E42" w:rsidRPr="00C55ED8" w:rsidSect="002C6E42">
      <w:pgSz w:w="12240" w:h="15840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744"/>
    <w:multiLevelType w:val="hybridMultilevel"/>
    <w:tmpl w:val="F0966766"/>
    <w:lvl w:ilvl="0" w:tplc="D39C84F2">
      <w:start w:val="1"/>
      <w:numFmt w:val="bullet"/>
      <w:pStyle w:val="Pu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698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B2"/>
    <w:rsid w:val="002C6E42"/>
    <w:rsid w:val="003D14B2"/>
    <w:rsid w:val="00C5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D1C7"/>
  <w15:chartTrackingRefBased/>
  <w15:docId w15:val="{9F7D205D-E9F5-40C1-BDDD-C3BD43F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6E42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">
    <w:name w:val="Puce"/>
    <w:basedOn w:val="Normal"/>
    <w:link w:val="PuceCar"/>
    <w:qFormat/>
    <w:rsid w:val="002C6E42"/>
    <w:pPr>
      <w:numPr>
        <w:numId w:val="1"/>
      </w:numPr>
      <w:tabs>
        <w:tab w:val="left" w:pos="357"/>
      </w:tabs>
      <w:spacing w:line="360" w:lineRule="auto"/>
      <w:ind w:left="357" w:hanging="357"/>
    </w:pPr>
    <w:rPr>
      <w:rFonts w:ascii="Arial" w:hAnsi="Arial"/>
      <w:kern w:val="0"/>
      <w:sz w:val="20"/>
      <w14:ligatures w14:val="none"/>
    </w:rPr>
  </w:style>
  <w:style w:type="character" w:customStyle="1" w:styleId="PuceCar">
    <w:name w:val="Puce Car"/>
    <w:basedOn w:val="Policepardfaut"/>
    <w:link w:val="Puce"/>
    <w:rsid w:val="002C6E42"/>
    <w:rPr>
      <w:rFonts w:ascii="Arial" w:hAnsi="Arial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Lorena Gonzalez</dc:creator>
  <cp:keywords/>
  <dc:description/>
  <cp:lastModifiedBy>Diana Lorena Gonzalez</cp:lastModifiedBy>
  <cp:revision>3</cp:revision>
  <dcterms:created xsi:type="dcterms:W3CDTF">2023-12-20T01:57:00Z</dcterms:created>
  <dcterms:modified xsi:type="dcterms:W3CDTF">2023-12-20T02:00:00Z</dcterms:modified>
</cp:coreProperties>
</file>