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35D80" w14:textId="19DEABE2" w:rsidR="00766D14" w:rsidRPr="00DE7F8D" w:rsidRDefault="00DE7F8D">
      <w:pPr>
        <w:rPr>
          <w:b/>
          <w:bCs/>
          <w:sz w:val="28"/>
          <w:szCs w:val="28"/>
        </w:rPr>
      </w:pPr>
      <w:bookmarkStart w:id="0" w:name="_Hlk34546983"/>
      <w:r w:rsidRPr="00DE7F8D">
        <w:rPr>
          <w:b/>
          <w:bCs/>
          <w:sz w:val="28"/>
          <w:szCs w:val="28"/>
        </w:rPr>
        <w:t>Mine de rien</w:t>
      </w:r>
      <w:r w:rsidR="00B825D4">
        <w:rPr>
          <w:b/>
          <w:bCs/>
          <w:sz w:val="28"/>
          <w:szCs w:val="28"/>
        </w:rPr>
        <w:t>,</w:t>
      </w:r>
      <w:r w:rsidRPr="00DE7F8D">
        <w:rPr>
          <w:b/>
          <w:bCs/>
          <w:sz w:val="28"/>
          <w:szCs w:val="28"/>
        </w:rPr>
        <w:t xml:space="preserve"> </w:t>
      </w:r>
      <w:r w:rsidR="00CB2C17">
        <w:rPr>
          <w:b/>
          <w:bCs/>
          <w:sz w:val="28"/>
          <w:szCs w:val="28"/>
        </w:rPr>
        <w:t>les régions seraient-elle en voie de repeuplement ?</w:t>
      </w:r>
    </w:p>
    <w:p w14:paraId="1EF9B092" w14:textId="77777777" w:rsidR="00766D14" w:rsidRDefault="00766D14" w:rsidP="00766D14">
      <w:pPr>
        <w:spacing w:after="0" w:line="240" w:lineRule="auto"/>
        <w:rPr>
          <w:sz w:val="24"/>
          <w:szCs w:val="24"/>
        </w:rPr>
      </w:pPr>
      <w:r>
        <w:rPr>
          <w:sz w:val="24"/>
          <w:szCs w:val="24"/>
        </w:rPr>
        <w:t>Bernard Vachon, Ph.D.</w:t>
      </w:r>
    </w:p>
    <w:p w14:paraId="6BF783C3" w14:textId="77777777" w:rsidR="00766D14" w:rsidRDefault="00766D14" w:rsidP="00766D14">
      <w:pPr>
        <w:spacing w:after="0" w:line="240" w:lineRule="auto"/>
        <w:rPr>
          <w:sz w:val="24"/>
          <w:szCs w:val="24"/>
        </w:rPr>
      </w:pPr>
      <w:r>
        <w:rPr>
          <w:sz w:val="24"/>
          <w:szCs w:val="24"/>
        </w:rPr>
        <w:t>Professeur retraité du département de géographie de l’UQAM</w:t>
      </w:r>
    </w:p>
    <w:p w14:paraId="1186CEEC" w14:textId="169A0AA7" w:rsidR="00766D14" w:rsidRDefault="00766D14" w:rsidP="00766D14">
      <w:pPr>
        <w:spacing w:after="0" w:line="240" w:lineRule="auto"/>
        <w:rPr>
          <w:sz w:val="24"/>
          <w:szCs w:val="24"/>
        </w:rPr>
      </w:pPr>
      <w:r>
        <w:rPr>
          <w:sz w:val="24"/>
          <w:szCs w:val="24"/>
        </w:rPr>
        <w:t>Spécialiste en développement local et régional</w:t>
      </w:r>
    </w:p>
    <w:p w14:paraId="2E97601E" w14:textId="33794C8F" w:rsidR="004964BB" w:rsidRDefault="004964BB" w:rsidP="00766D14">
      <w:pPr>
        <w:spacing w:after="0" w:line="240" w:lineRule="auto"/>
        <w:rPr>
          <w:sz w:val="24"/>
          <w:szCs w:val="24"/>
        </w:rPr>
      </w:pPr>
      <w:r>
        <w:rPr>
          <w:sz w:val="24"/>
          <w:szCs w:val="24"/>
        </w:rPr>
        <w:t>________________________________________________________________________</w:t>
      </w:r>
    </w:p>
    <w:p w14:paraId="151EA769" w14:textId="54093033" w:rsidR="00766D14" w:rsidRPr="00242140" w:rsidRDefault="00766D14" w:rsidP="00766D14">
      <w:pPr>
        <w:spacing w:after="0" w:line="240" w:lineRule="auto"/>
        <w:rPr>
          <w:sz w:val="16"/>
          <w:szCs w:val="16"/>
        </w:rPr>
      </w:pPr>
    </w:p>
    <w:p w14:paraId="7F8AF22F" w14:textId="46324CDE" w:rsidR="00766D14" w:rsidRPr="007B5EFD" w:rsidRDefault="00DE7F8D" w:rsidP="00794A1B">
      <w:pPr>
        <w:spacing w:after="0" w:line="240" w:lineRule="auto"/>
        <w:jc w:val="both"/>
        <w:rPr>
          <w:rFonts w:cstheme="minorHAnsi"/>
          <w:sz w:val="24"/>
          <w:szCs w:val="24"/>
        </w:rPr>
      </w:pPr>
      <w:r w:rsidRPr="007B5EFD">
        <w:rPr>
          <w:rFonts w:cstheme="minorHAnsi"/>
          <w:sz w:val="24"/>
          <w:szCs w:val="24"/>
        </w:rPr>
        <w:t>L’évolution démographique d’une ville</w:t>
      </w:r>
      <w:r w:rsidR="005D01D2" w:rsidRPr="007B5EFD">
        <w:rPr>
          <w:rFonts w:cstheme="minorHAnsi"/>
          <w:sz w:val="24"/>
          <w:szCs w:val="24"/>
        </w:rPr>
        <w:t>,</w:t>
      </w:r>
      <w:r w:rsidRPr="007B5EFD">
        <w:rPr>
          <w:rFonts w:cstheme="minorHAnsi"/>
          <w:sz w:val="24"/>
          <w:szCs w:val="24"/>
        </w:rPr>
        <w:t xml:space="preserve"> d’une région </w:t>
      </w:r>
      <w:r w:rsidR="005D01D2" w:rsidRPr="007B5EFD">
        <w:rPr>
          <w:rFonts w:cstheme="minorHAnsi"/>
          <w:sz w:val="24"/>
          <w:szCs w:val="24"/>
        </w:rPr>
        <w:t xml:space="preserve">ou d’un pays </w:t>
      </w:r>
      <w:r w:rsidRPr="007B5EFD">
        <w:rPr>
          <w:rFonts w:cstheme="minorHAnsi"/>
          <w:sz w:val="24"/>
          <w:szCs w:val="24"/>
        </w:rPr>
        <w:t>repose sur deux variable</w:t>
      </w:r>
      <w:r w:rsidR="00B825D4" w:rsidRPr="007B5EFD">
        <w:rPr>
          <w:rFonts w:cstheme="minorHAnsi"/>
          <w:sz w:val="24"/>
          <w:szCs w:val="24"/>
        </w:rPr>
        <w:t>s : 1. Le solde entre les naissances et les décès</w:t>
      </w:r>
      <w:r w:rsidR="005D01D2" w:rsidRPr="007B5EFD">
        <w:rPr>
          <w:rFonts w:cstheme="minorHAnsi"/>
          <w:sz w:val="24"/>
          <w:szCs w:val="24"/>
        </w:rPr>
        <w:t>, soit l’accroissement naturel</w:t>
      </w:r>
      <w:r w:rsidR="00B825D4" w:rsidRPr="007B5EFD">
        <w:rPr>
          <w:rFonts w:cstheme="minorHAnsi"/>
          <w:sz w:val="24"/>
          <w:szCs w:val="24"/>
        </w:rPr>
        <w:t>; 2. Le solde entre les départs et les</w:t>
      </w:r>
      <w:bookmarkStart w:id="1" w:name="_GoBack"/>
      <w:bookmarkEnd w:id="1"/>
      <w:r w:rsidR="00B825D4" w:rsidRPr="007B5EFD">
        <w:rPr>
          <w:rFonts w:cstheme="minorHAnsi"/>
          <w:sz w:val="24"/>
          <w:szCs w:val="24"/>
        </w:rPr>
        <w:t xml:space="preserve"> arrivés</w:t>
      </w:r>
      <w:r w:rsidR="005D01D2" w:rsidRPr="007B5EFD">
        <w:rPr>
          <w:rFonts w:cstheme="minorHAnsi"/>
          <w:sz w:val="24"/>
          <w:szCs w:val="24"/>
        </w:rPr>
        <w:t>, soit l’accroissement attribuable aux échanges migratoires interrégionaux (inclu</w:t>
      </w:r>
      <w:r w:rsidR="0087533B" w:rsidRPr="007B5EFD">
        <w:rPr>
          <w:rFonts w:cstheme="minorHAnsi"/>
          <w:sz w:val="24"/>
          <w:szCs w:val="24"/>
        </w:rPr>
        <w:t>an</w:t>
      </w:r>
      <w:r w:rsidR="005D01D2" w:rsidRPr="007B5EFD">
        <w:rPr>
          <w:rFonts w:cstheme="minorHAnsi"/>
          <w:sz w:val="24"/>
          <w:szCs w:val="24"/>
        </w:rPr>
        <w:t xml:space="preserve">t </w:t>
      </w:r>
      <w:r w:rsidR="000053A6" w:rsidRPr="007B5EFD">
        <w:rPr>
          <w:rFonts w:cstheme="minorHAnsi"/>
          <w:sz w:val="24"/>
          <w:szCs w:val="24"/>
        </w:rPr>
        <w:t xml:space="preserve">aussi </w:t>
      </w:r>
      <w:r w:rsidR="005D01D2" w:rsidRPr="007B5EFD">
        <w:rPr>
          <w:rFonts w:cstheme="minorHAnsi"/>
          <w:sz w:val="24"/>
          <w:szCs w:val="24"/>
        </w:rPr>
        <w:t>les arrivants d’autres pays).</w:t>
      </w:r>
    </w:p>
    <w:p w14:paraId="0658B59A" w14:textId="143B9BD5" w:rsidR="005D01D2" w:rsidRPr="00242140" w:rsidRDefault="005D01D2" w:rsidP="00794A1B">
      <w:pPr>
        <w:spacing w:after="0" w:line="240" w:lineRule="auto"/>
        <w:jc w:val="both"/>
        <w:rPr>
          <w:rFonts w:cstheme="minorHAnsi"/>
          <w:sz w:val="16"/>
          <w:szCs w:val="16"/>
        </w:rPr>
      </w:pPr>
    </w:p>
    <w:p w14:paraId="0FB195BD" w14:textId="47C75FA1" w:rsidR="007B5EFD" w:rsidRPr="007B5EFD" w:rsidRDefault="008E229E" w:rsidP="00794A1B">
      <w:pPr>
        <w:spacing w:after="0" w:line="240" w:lineRule="auto"/>
        <w:jc w:val="both"/>
        <w:rPr>
          <w:rFonts w:cstheme="minorHAnsi"/>
          <w:b/>
          <w:bCs/>
          <w:sz w:val="24"/>
          <w:szCs w:val="24"/>
        </w:rPr>
      </w:pPr>
      <w:r>
        <w:rPr>
          <w:rFonts w:cstheme="minorHAnsi"/>
          <w:b/>
          <w:bCs/>
          <w:sz w:val="24"/>
          <w:szCs w:val="24"/>
        </w:rPr>
        <w:t>L’</w:t>
      </w:r>
      <w:r w:rsidR="007B5EFD" w:rsidRPr="007B5EFD">
        <w:rPr>
          <w:rFonts w:cstheme="minorHAnsi"/>
          <w:b/>
          <w:bCs/>
          <w:sz w:val="24"/>
          <w:szCs w:val="24"/>
        </w:rPr>
        <w:t>exode des régions</w:t>
      </w:r>
    </w:p>
    <w:p w14:paraId="4DD5E769" w14:textId="625C72EB" w:rsidR="005D01D2" w:rsidRPr="007B5EFD" w:rsidRDefault="005D01D2" w:rsidP="00794A1B">
      <w:pPr>
        <w:spacing w:after="0" w:line="240" w:lineRule="auto"/>
        <w:jc w:val="both"/>
        <w:rPr>
          <w:rFonts w:cstheme="minorHAnsi"/>
          <w:sz w:val="24"/>
          <w:szCs w:val="24"/>
        </w:rPr>
      </w:pPr>
      <w:r w:rsidRPr="007B5EFD">
        <w:rPr>
          <w:rFonts w:cstheme="minorHAnsi"/>
          <w:sz w:val="24"/>
          <w:szCs w:val="24"/>
        </w:rPr>
        <w:t xml:space="preserve">Depuis les années 50, l’évolution démographique des territoires hors des grands centres urbains a été marquée </w:t>
      </w:r>
      <w:r w:rsidR="00001414" w:rsidRPr="007B5EFD">
        <w:rPr>
          <w:rFonts w:cstheme="minorHAnsi"/>
          <w:sz w:val="24"/>
          <w:szCs w:val="24"/>
        </w:rPr>
        <w:t xml:space="preserve">par une véritable saignée qui a affaibli considérablement le capital </w:t>
      </w:r>
      <w:r w:rsidR="00794A1B" w:rsidRPr="007B5EFD">
        <w:rPr>
          <w:rFonts w:cstheme="minorHAnsi"/>
          <w:sz w:val="24"/>
          <w:szCs w:val="24"/>
        </w:rPr>
        <w:t>humain</w:t>
      </w:r>
      <w:r w:rsidR="00001414" w:rsidRPr="007B5EFD">
        <w:rPr>
          <w:rFonts w:cstheme="minorHAnsi"/>
          <w:sz w:val="24"/>
          <w:szCs w:val="24"/>
        </w:rPr>
        <w:t xml:space="preserve"> des régions. L’exode est la principale cause de cette hémorragie, et comme </w:t>
      </w:r>
      <w:r w:rsidR="0087533B" w:rsidRPr="007B5EFD">
        <w:rPr>
          <w:rFonts w:cstheme="minorHAnsi"/>
          <w:sz w:val="24"/>
          <w:szCs w:val="24"/>
        </w:rPr>
        <w:t>ce</w:t>
      </w:r>
      <w:r w:rsidR="0087533B" w:rsidRPr="007B5EFD">
        <w:rPr>
          <w:rFonts w:cstheme="minorHAnsi"/>
          <w:sz w:val="24"/>
          <w:szCs w:val="24"/>
          <w:highlight w:val="yellow"/>
        </w:rPr>
        <w:t xml:space="preserve"> </w:t>
      </w:r>
      <w:r w:rsidR="00794A1B" w:rsidRPr="007B5EFD">
        <w:rPr>
          <w:rFonts w:cstheme="minorHAnsi"/>
          <w:sz w:val="24"/>
          <w:szCs w:val="24"/>
        </w:rPr>
        <w:t>problème</w:t>
      </w:r>
      <w:r w:rsidR="0087533B" w:rsidRPr="007B5EFD">
        <w:rPr>
          <w:rFonts w:cstheme="minorHAnsi"/>
          <w:sz w:val="24"/>
          <w:szCs w:val="24"/>
        </w:rPr>
        <w:t xml:space="preserve"> </w:t>
      </w:r>
      <w:r w:rsidR="00001414" w:rsidRPr="007B5EFD">
        <w:rPr>
          <w:rFonts w:cstheme="minorHAnsi"/>
          <w:sz w:val="24"/>
          <w:szCs w:val="24"/>
        </w:rPr>
        <w:t xml:space="preserve">touchait tout particulièrement les jeunes tranches d’âge de la population, l’accroissement naturel </w:t>
      </w:r>
      <w:r w:rsidR="009A16DD" w:rsidRPr="007B5EFD">
        <w:rPr>
          <w:rFonts w:cstheme="minorHAnsi"/>
          <w:sz w:val="24"/>
          <w:szCs w:val="24"/>
        </w:rPr>
        <w:t>a aussi été</w:t>
      </w:r>
      <w:r w:rsidR="0087533B" w:rsidRPr="007B5EFD">
        <w:rPr>
          <w:rFonts w:cstheme="minorHAnsi"/>
          <w:sz w:val="24"/>
          <w:szCs w:val="24"/>
        </w:rPr>
        <w:t xml:space="preserve"> entraîné dans ce processus d’appauvrissement démographique des régions.</w:t>
      </w:r>
    </w:p>
    <w:p w14:paraId="3C903924" w14:textId="03ECF2A6" w:rsidR="0087533B" w:rsidRPr="00242140" w:rsidRDefault="0087533B" w:rsidP="00794A1B">
      <w:pPr>
        <w:spacing w:after="0" w:line="240" w:lineRule="auto"/>
        <w:jc w:val="both"/>
        <w:rPr>
          <w:rFonts w:cstheme="minorHAnsi"/>
          <w:sz w:val="16"/>
          <w:szCs w:val="16"/>
        </w:rPr>
      </w:pPr>
    </w:p>
    <w:p w14:paraId="3425723E" w14:textId="5D1ADF62" w:rsidR="0087533B" w:rsidRPr="007B5EFD" w:rsidRDefault="000053A6" w:rsidP="00794A1B">
      <w:pPr>
        <w:spacing w:after="0" w:line="240" w:lineRule="auto"/>
        <w:jc w:val="both"/>
        <w:rPr>
          <w:rFonts w:cstheme="minorHAnsi"/>
          <w:sz w:val="24"/>
          <w:szCs w:val="24"/>
        </w:rPr>
      </w:pPr>
      <w:r w:rsidRPr="007B5EFD">
        <w:rPr>
          <w:rFonts w:cstheme="minorHAnsi"/>
          <w:sz w:val="24"/>
          <w:szCs w:val="24"/>
        </w:rPr>
        <w:t>L</w:t>
      </w:r>
      <w:r w:rsidR="0087533B" w:rsidRPr="007B5EFD">
        <w:rPr>
          <w:rFonts w:cstheme="minorHAnsi"/>
          <w:sz w:val="24"/>
          <w:szCs w:val="24"/>
        </w:rPr>
        <w:t xml:space="preserve">a décroissance </w:t>
      </w:r>
      <w:r w:rsidRPr="007B5EFD">
        <w:rPr>
          <w:rFonts w:cstheme="minorHAnsi"/>
          <w:sz w:val="24"/>
          <w:szCs w:val="24"/>
        </w:rPr>
        <w:t xml:space="preserve">et le vieillissement prématuré </w:t>
      </w:r>
      <w:r w:rsidR="0087533B" w:rsidRPr="007B5EFD">
        <w:rPr>
          <w:rFonts w:cstheme="minorHAnsi"/>
          <w:sz w:val="24"/>
          <w:szCs w:val="24"/>
        </w:rPr>
        <w:t>des populations en région consolidée sur une période de plus de 60 ans</w:t>
      </w:r>
      <w:r w:rsidR="009A16DD" w:rsidRPr="007B5EFD">
        <w:rPr>
          <w:rFonts w:cstheme="minorHAnsi"/>
          <w:sz w:val="24"/>
          <w:szCs w:val="24"/>
        </w:rPr>
        <w:t xml:space="preserve">, </w:t>
      </w:r>
      <w:r w:rsidR="0087533B" w:rsidRPr="007B5EFD">
        <w:rPr>
          <w:rFonts w:cstheme="minorHAnsi"/>
          <w:sz w:val="24"/>
          <w:szCs w:val="24"/>
        </w:rPr>
        <w:t>laiss</w:t>
      </w:r>
      <w:r w:rsidR="009A16DD" w:rsidRPr="007B5EFD">
        <w:rPr>
          <w:rFonts w:cstheme="minorHAnsi"/>
          <w:sz w:val="24"/>
          <w:szCs w:val="24"/>
        </w:rPr>
        <w:t>aient</w:t>
      </w:r>
      <w:r w:rsidR="0087533B" w:rsidRPr="007B5EFD">
        <w:rPr>
          <w:rFonts w:cstheme="minorHAnsi"/>
          <w:sz w:val="24"/>
          <w:szCs w:val="24"/>
        </w:rPr>
        <w:t xml:space="preserve"> peu d’espoir </w:t>
      </w:r>
      <w:r w:rsidR="008E229E">
        <w:rPr>
          <w:rFonts w:cstheme="minorHAnsi"/>
          <w:sz w:val="24"/>
          <w:szCs w:val="24"/>
        </w:rPr>
        <w:t>pour un</w:t>
      </w:r>
      <w:r w:rsidR="0087533B" w:rsidRPr="007B5EFD">
        <w:rPr>
          <w:rFonts w:cstheme="minorHAnsi"/>
          <w:sz w:val="24"/>
          <w:szCs w:val="24"/>
        </w:rPr>
        <w:t xml:space="preserve"> redressement</w:t>
      </w:r>
      <w:r w:rsidR="00322ECE" w:rsidRPr="007B5EFD">
        <w:rPr>
          <w:rFonts w:cstheme="minorHAnsi"/>
          <w:sz w:val="24"/>
          <w:szCs w:val="24"/>
        </w:rPr>
        <w:t xml:space="preserve">. </w:t>
      </w:r>
    </w:p>
    <w:p w14:paraId="6D11F291" w14:textId="6493882E" w:rsidR="00322ECE" w:rsidRPr="00242140" w:rsidRDefault="00322ECE" w:rsidP="00794A1B">
      <w:pPr>
        <w:spacing w:after="0" w:line="240" w:lineRule="auto"/>
        <w:jc w:val="both"/>
        <w:rPr>
          <w:rFonts w:cstheme="minorHAnsi"/>
          <w:sz w:val="16"/>
          <w:szCs w:val="16"/>
        </w:rPr>
      </w:pPr>
    </w:p>
    <w:p w14:paraId="57E19779" w14:textId="35C8B46D" w:rsidR="0051402C" w:rsidRPr="007B5EFD" w:rsidRDefault="00322ECE" w:rsidP="00794A1B">
      <w:pPr>
        <w:spacing w:after="0" w:line="240" w:lineRule="auto"/>
        <w:jc w:val="both"/>
        <w:rPr>
          <w:rFonts w:cstheme="minorHAnsi"/>
          <w:sz w:val="24"/>
          <w:szCs w:val="24"/>
        </w:rPr>
      </w:pPr>
      <w:r w:rsidRPr="007B5EFD">
        <w:rPr>
          <w:rStyle w:val="m-867005680369133509s1"/>
          <w:rFonts w:cstheme="minorHAnsi"/>
          <w:sz w:val="24"/>
          <w:szCs w:val="24"/>
        </w:rPr>
        <w:t>Le 11 juillet dernier, l’Institut de la statistique du Québec dévoilait l</w:t>
      </w:r>
      <w:r w:rsidRPr="007B5EFD">
        <w:rPr>
          <w:rFonts w:cstheme="minorHAnsi"/>
          <w:sz w:val="24"/>
          <w:szCs w:val="24"/>
        </w:rPr>
        <w:t xml:space="preserve">es perspectives démographiques </w:t>
      </w:r>
      <w:r w:rsidR="000053A6" w:rsidRPr="007B5EFD">
        <w:rPr>
          <w:rFonts w:cstheme="minorHAnsi"/>
          <w:sz w:val="24"/>
          <w:szCs w:val="24"/>
        </w:rPr>
        <w:t xml:space="preserve">de </w:t>
      </w:r>
      <w:r w:rsidRPr="007B5EFD">
        <w:rPr>
          <w:rFonts w:cstheme="minorHAnsi"/>
          <w:sz w:val="24"/>
          <w:szCs w:val="24"/>
        </w:rPr>
        <w:t>2016 à 2066 pour l’ensemble du Québec</w:t>
      </w:r>
      <w:r w:rsidR="009A16DD" w:rsidRPr="007B5EFD">
        <w:rPr>
          <w:rFonts w:cstheme="minorHAnsi"/>
          <w:sz w:val="24"/>
          <w:szCs w:val="24"/>
        </w:rPr>
        <w:t>,</w:t>
      </w:r>
      <w:r w:rsidRPr="007B5EFD">
        <w:rPr>
          <w:rFonts w:cstheme="minorHAnsi"/>
          <w:sz w:val="24"/>
          <w:szCs w:val="24"/>
        </w:rPr>
        <w:t xml:space="preserve"> et de 2016 à 2041 à l’échelle régionale. </w:t>
      </w:r>
      <w:r w:rsidR="00E213E2" w:rsidRPr="007B5EFD">
        <w:rPr>
          <w:rFonts w:cstheme="minorHAnsi"/>
          <w:sz w:val="24"/>
          <w:szCs w:val="24"/>
        </w:rPr>
        <w:t>On déclarait que l</w:t>
      </w:r>
      <w:r w:rsidR="00B96645" w:rsidRPr="007B5EFD">
        <w:rPr>
          <w:rFonts w:cstheme="minorHAnsi"/>
          <w:sz w:val="24"/>
          <w:szCs w:val="24"/>
        </w:rPr>
        <w:t>es données présentées « rendent compte de la direction vers laquelle la population du Québec se dirige si les tendances actuelles se maintiennent</w:t>
      </w:r>
      <w:r w:rsidR="0051402C" w:rsidRPr="007B5EFD">
        <w:rPr>
          <w:rFonts w:cstheme="minorHAnsi"/>
          <w:sz w:val="24"/>
          <w:szCs w:val="24"/>
        </w:rPr>
        <w:t>.</w:t>
      </w:r>
      <w:r w:rsidR="009A16DD" w:rsidRPr="007B5EFD">
        <w:rPr>
          <w:rFonts w:cstheme="minorHAnsi"/>
          <w:sz w:val="24"/>
          <w:szCs w:val="24"/>
        </w:rPr>
        <w:t xml:space="preserve"> </w:t>
      </w:r>
      <w:r w:rsidR="00B96645" w:rsidRPr="007B5EFD">
        <w:rPr>
          <w:rFonts w:cstheme="minorHAnsi"/>
          <w:sz w:val="24"/>
          <w:szCs w:val="24"/>
        </w:rPr>
        <w:t xml:space="preserve">» </w:t>
      </w:r>
    </w:p>
    <w:p w14:paraId="45461667" w14:textId="77777777" w:rsidR="0051402C" w:rsidRPr="00242140" w:rsidRDefault="0051402C" w:rsidP="00794A1B">
      <w:pPr>
        <w:spacing w:after="0" w:line="240" w:lineRule="auto"/>
        <w:jc w:val="both"/>
        <w:rPr>
          <w:rFonts w:cstheme="minorHAnsi"/>
          <w:sz w:val="16"/>
          <w:szCs w:val="16"/>
        </w:rPr>
      </w:pPr>
    </w:p>
    <w:p w14:paraId="5E323B10" w14:textId="304E8455" w:rsidR="00322ECE" w:rsidRPr="007B5EFD" w:rsidRDefault="00E213E2" w:rsidP="00794A1B">
      <w:pPr>
        <w:spacing w:after="0" w:line="240" w:lineRule="auto"/>
        <w:jc w:val="both"/>
        <w:rPr>
          <w:rFonts w:cstheme="minorHAnsi"/>
          <w:sz w:val="24"/>
          <w:szCs w:val="24"/>
        </w:rPr>
      </w:pPr>
      <w:r w:rsidRPr="007B5EFD">
        <w:rPr>
          <w:rFonts w:cstheme="minorHAnsi"/>
          <w:sz w:val="24"/>
          <w:szCs w:val="24"/>
        </w:rPr>
        <w:t>Dans les tableaux de l’ISQ, p</w:t>
      </w:r>
      <w:r w:rsidR="0067266A" w:rsidRPr="007B5EFD">
        <w:rPr>
          <w:rFonts w:cstheme="minorHAnsi"/>
          <w:sz w:val="24"/>
          <w:szCs w:val="24"/>
        </w:rPr>
        <w:t xml:space="preserve">lusieurs municipalités des régions intermédiaires et périphériques, dites régions ressources, présentent, sur la base des </w:t>
      </w:r>
      <w:r w:rsidR="000053A6" w:rsidRPr="007B5EFD">
        <w:rPr>
          <w:rFonts w:cstheme="minorHAnsi"/>
          <w:sz w:val="24"/>
          <w:szCs w:val="24"/>
        </w:rPr>
        <w:t>« </w:t>
      </w:r>
      <w:r w:rsidR="0067266A" w:rsidRPr="007B5EFD">
        <w:rPr>
          <w:rFonts w:cstheme="minorHAnsi"/>
          <w:sz w:val="24"/>
          <w:szCs w:val="24"/>
        </w:rPr>
        <w:t>tendances historiques</w:t>
      </w:r>
      <w:r w:rsidR="000053A6" w:rsidRPr="007B5EFD">
        <w:rPr>
          <w:rFonts w:cstheme="minorHAnsi"/>
          <w:sz w:val="24"/>
          <w:szCs w:val="24"/>
        </w:rPr>
        <w:t> »</w:t>
      </w:r>
      <w:r w:rsidR="0067266A" w:rsidRPr="007B5EFD">
        <w:rPr>
          <w:rFonts w:cstheme="minorHAnsi"/>
          <w:sz w:val="24"/>
          <w:szCs w:val="24"/>
        </w:rPr>
        <w:t xml:space="preserve">, des perspectives inquiétantes pour leur avenir, </w:t>
      </w:r>
      <w:r w:rsidRPr="007B5EFD">
        <w:rPr>
          <w:rFonts w:cstheme="minorHAnsi"/>
          <w:sz w:val="24"/>
          <w:szCs w:val="24"/>
        </w:rPr>
        <w:t xml:space="preserve">que certains </w:t>
      </w:r>
      <w:r w:rsidR="00BC6841">
        <w:rPr>
          <w:rFonts w:cstheme="minorHAnsi"/>
          <w:sz w:val="24"/>
          <w:szCs w:val="24"/>
        </w:rPr>
        <w:t>n’ont pas hésité</w:t>
      </w:r>
      <w:r w:rsidRPr="007B5EFD">
        <w:rPr>
          <w:rFonts w:cstheme="minorHAnsi"/>
          <w:sz w:val="24"/>
          <w:szCs w:val="24"/>
        </w:rPr>
        <w:t xml:space="preserve"> à dramatiser</w:t>
      </w:r>
      <w:r w:rsidR="0067266A" w:rsidRPr="007B5EFD">
        <w:rPr>
          <w:rFonts w:cstheme="minorHAnsi"/>
          <w:sz w:val="24"/>
          <w:szCs w:val="24"/>
        </w:rPr>
        <w:t xml:space="preserve">. </w:t>
      </w:r>
      <w:r w:rsidR="00BC6841">
        <w:rPr>
          <w:rFonts w:cstheme="minorHAnsi"/>
          <w:sz w:val="24"/>
          <w:szCs w:val="24"/>
        </w:rPr>
        <w:t>Le</w:t>
      </w:r>
      <w:r w:rsidR="00322ECE" w:rsidRPr="007B5EFD">
        <w:rPr>
          <w:rFonts w:cstheme="minorHAnsi"/>
          <w:sz w:val="24"/>
          <w:szCs w:val="24"/>
        </w:rPr>
        <w:t xml:space="preserve"> président de la firme de consultants Groupe Ambition, </w:t>
      </w:r>
      <w:r w:rsidR="0067266A" w:rsidRPr="007B5EFD">
        <w:rPr>
          <w:rFonts w:cstheme="minorHAnsi"/>
          <w:sz w:val="24"/>
          <w:szCs w:val="24"/>
        </w:rPr>
        <w:t xml:space="preserve">Pierre Bernier, </w:t>
      </w:r>
      <w:r w:rsidR="007F7ADA" w:rsidRPr="007B5EFD">
        <w:rPr>
          <w:rStyle w:val="st"/>
          <w:rFonts w:cstheme="minorHAnsi"/>
          <w:sz w:val="24"/>
          <w:szCs w:val="24"/>
        </w:rPr>
        <w:t xml:space="preserve">a soutenu que près de 200 municipalités pourraient devoir </w:t>
      </w:r>
      <w:r w:rsidR="00F41B38" w:rsidRPr="007B5EFD">
        <w:rPr>
          <w:rStyle w:val="st"/>
          <w:rFonts w:cstheme="minorHAnsi"/>
          <w:sz w:val="24"/>
          <w:szCs w:val="24"/>
        </w:rPr>
        <w:t>« </w:t>
      </w:r>
      <w:r w:rsidR="007F7ADA" w:rsidRPr="007B5EFD">
        <w:rPr>
          <w:rStyle w:val="st"/>
          <w:rFonts w:cstheme="minorHAnsi"/>
          <w:sz w:val="24"/>
          <w:szCs w:val="24"/>
        </w:rPr>
        <w:t>fermer</w:t>
      </w:r>
      <w:r w:rsidR="00F41B38" w:rsidRPr="007B5EFD">
        <w:rPr>
          <w:rStyle w:val="st"/>
          <w:rFonts w:cstheme="minorHAnsi"/>
          <w:sz w:val="24"/>
          <w:szCs w:val="24"/>
        </w:rPr>
        <w:t> </w:t>
      </w:r>
      <w:r w:rsidR="00322ECE" w:rsidRPr="007B5EFD">
        <w:rPr>
          <w:rFonts w:cstheme="minorHAnsi"/>
          <w:sz w:val="24"/>
          <w:szCs w:val="24"/>
        </w:rPr>
        <w:t>d’ici 2025</w:t>
      </w:r>
      <w:r w:rsidR="005967DD">
        <w:rPr>
          <w:rFonts w:cstheme="minorHAnsi"/>
          <w:sz w:val="24"/>
          <w:szCs w:val="24"/>
        </w:rPr>
        <w:t> »</w:t>
      </w:r>
      <w:r w:rsidR="00322ECE" w:rsidRPr="007B5EFD">
        <w:rPr>
          <w:rFonts w:cstheme="minorHAnsi"/>
          <w:sz w:val="24"/>
          <w:szCs w:val="24"/>
        </w:rPr>
        <w:t>.</w:t>
      </w:r>
    </w:p>
    <w:p w14:paraId="37E63FDF" w14:textId="77777777" w:rsidR="003F1083" w:rsidRPr="00242140" w:rsidRDefault="003F1083" w:rsidP="00794A1B">
      <w:pPr>
        <w:spacing w:after="0" w:line="240" w:lineRule="auto"/>
        <w:jc w:val="both"/>
        <w:rPr>
          <w:rFonts w:cstheme="minorHAnsi"/>
          <w:sz w:val="16"/>
          <w:szCs w:val="16"/>
        </w:rPr>
      </w:pPr>
    </w:p>
    <w:p w14:paraId="4810BC23" w14:textId="752B461A" w:rsidR="00322ECE" w:rsidRPr="007B5EFD" w:rsidRDefault="0051402C" w:rsidP="00794A1B">
      <w:pPr>
        <w:spacing w:after="0" w:line="240" w:lineRule="auto"/>
        <w:jc w:val="both"/>
        <w:rPr>
          <w:rFonts w:cstheme="minorHAnsi"/>
          <w:sz w:val="24"/>
          <w:szCs w:val="24"/>
        </w:rPr>
      </w:pPr>
      <w:r w:rsidRPr="007B5EFD">
        <w:rPr>
          <w:rFonts w:cstheme="minorHAnsi"/>
          <w:sz w:val="24"/>
          <w:szCs w:val="24"/>
        </w:rPr>
        <w:t>Mais i</w:t>
      </w:r>
      <w:r w:rsidR="00322ECE" w:rsidRPr="007B5EFD">
        <w:rPr>
          <w:rFonts w:cstheme="minorHAnsi"/>
          <w:sz w:val="24"/>
          <w:szCs w:val="24"/>
        </w:rPr>
        <w:t>l est hasardeux de prédire la mort d’un</w:t>
      </w:r>
      <w:r w:rsidRPr="007B5EFD">
        <w:rPr>
          <w:rFonts w:cstheme="minorHAnsi"/>
          <w:sz w:val="24"/>
          <w:szCs w:val="24"/>
        </w:rPr>
        <w:t>e communauté. Surtout dans un contexte de grands bouleversements alors que les transitions</w:t>
      </w:r>
      <w:r w:rsidR="003F1083" w:rsidRPr="007B5EFD">
        <w:rPr>
          <w:rFonts w:cstheme="minorHAnsi"/>
          <w:sz w:val="24"/>
          <w:szCs w:val="24"/>
        </w:rPr>
        <w:t xml:space="preserve"> économique,</w:t>
      </w:r>
      <w:r w:rsidRPr="007B5EFD">
        <w:rPr>
          <w:rFonts w:cstheme="minorHAnsi"/>
          <w:sz w:val="24"/>
          <w:szCs w:val="24"/>
        </w:rPr>
        <w:t xml:space="preserve"> numérique</w:t>
      </w:r>
      <w:r w:rsidR="003F1083" w:rsidRPr="007B5EFD">
        <w:rPr>
          <w:rFonts w:cstheme="minorHAnsi"/>
          <w:sz w:val="24"/>
          <w:szCs w:val="24"/>
        </w:rPr>
        <w:t xml:space="preserve"> et écologique modifient les logiques de l’occupation du territoire et, dans son sillage, la configuration géographique de la répartition des activités économiques</w:t>
      </w:r>
      <w:r w:rsidR="00B960DB">
        <w:rPr>
          <w:rFonts w:cstheme="minorHAnsi"/>
          <w:sz w:val="24"/>
          <w:szCs w:val="24"/>
        </w:rPr>
        <w:t>, des emplois</w:t>
      </w:r>
      <w:r w:rsidR="003F1083" w:rsidRPr="007B5EFD">
        <w:rPr>
          <w:rFonts w:cstheme="minorHAnsi"/>
          <w:sz w:val="24"/>
          <w:szCs w:val="24"/>
        </w:rPr>
        <w:t xml:space="preserve"> et des populations.</w:t>
      </w:r>
    </w:p>
    <w:p w14:paraId="4E70F174" w14:textId="5DEBBFFD" w:rsidR="00311681" w:rsidRPr="00242140" w:rsidRDefault="00311681" w:rsidP="00794A1B">
      <w:pPr>
        <w:spacing w:after="0" w:line="240" w:lineRule="auto"/>
        <w:jc w:val="both"/>
        <w:rPr>
          <w:rFonts w:cstheme="minorHAnsi"/>
          <w:sz w:val="16"/>
          <w:szCs w:val="16"/>
        </w:rPr>
      </w:pPr>
    </w:p>
    <w:p w14:paraId="47FD9059" w14:textId="0F0A46AF" w:rsidR="007B5EFD" w:rsidRPr="007B5EFD" w:rsidRDefault="00BC6841" w:rsidP="00794A1B">
      <w:pPr>
        <w:spacing w:after="0" w:line="240" w:lineRule="auto"/>
        <w:jc w:val="both"/>
        <w:rPr>
          <w:rFonts w:cstheme="minorHAnsi"/>
          <w:b/>
          <w:bCs/>
          <w:sz w:val="24"/>
          <w:szCs w:val="24"/>
        </w:rPr>
      </w:pPr>
      <w:r>
        <w:rPr>
          <w:rFonts w:cstheme="minorHAnsi"/>
          <w:b/>
          <w:bCs/>
          <w:sz w:val="24"/>
          <w:szCs w:val="24"/>
        </w:rPr>
        <w:t>L</w:t>
      </w:r>
      <w:r w:rsidR="007B5EFD" w:rsidRPr="007B5EFD">
        <w:rPr>
          <w:rFonts w:cstheme="minorHAnsi"/>
          <w:b/>
          <w:bCs/>
          <w:sz w:val="24"/>
          <w:szCs w:val="24"/>
        </w:rPr>
        <w:t>’exode urbain des grands centres</w:t>
      </w:r>
      <w:r w:rsidR="00AB324D">
        <w:rPr>
          <w:rFonts w:cstheme="minorHAnsi"/>
          <w:b/>
          <w:bCs/>
          <w:sz w:val="24"/>
          <w:szCs w:val="24"/>
        </w:rPr>
        <w:t xml:space="preserve"> profite aux régions</w:t>
      </w:r>
    </w:p>
    <w:p w14:paraId="0588E1F0" w14:textId="11BB9DF6" w:rsidR="00C72FE2" w:rsidRPr="007B5EFD" w:rsidRDefault="003C013E" w:rsidP="00794A1B">
      <w:pPr>
        <w:spacing w:after="0" w:line="240" w:lineRule="auto"/>
        <w:jc w:val="both"/>
        <w:rPr>
          <w:rFonts w:eastAsia="Times New Roman" w:cstheme="minorHAnsi"/>
          <w:sz w:val="24"/>
          <w:szCs w:val="24"/>
          <w:lang w:eastAsia="fr-CA"/>
        </w:rPr>
      </w:pPr>
      <w:r w:rsidRPr="007B5EFD">
        <w:rPr>
          <w:rFonts w:cstheme="minorHAnsi"/>
          <w:sz w:val="24"/>
          <w:szCs w:val="24"/>
        </w:rPr>
        <w:t>D</w:t>
      </w:r>
      <w:r w:rsidR="00311681" w:rsidRPr="007B5EFD">
        <w:rPr>
          <w:rFonts w:cstheme="minorHAnsi"/>
          <w:sz w:val="24"/>
          <w:szCs w:val="24"/>
        </w:rPr>
        <w:t>ans une publication en date du 20 février dernier, l’I</w:t>
      </w:r>
      <w:r w:rsidR="00F41B38" w:rsidRPr="007B5EFD">
        <w:rPr>
          <w:rFonts w:cstheme="minorHAnsi"/>
          <w:sz w:val="24"/>
          <w:szCs w:val="24"/>
        </w:rPr>
        <w:t>SQ</w:t>
      </w:r>
      <w:r w:rsidR="00311681" w:rsidRPr="007B5EFD">
        <w:rPr>
          <w:rFonts w:cstheme="minorHAnsi"/>
          <w:sz w:val="24"/>
          <w:szCs w:val="24"/>
        </w:rPr>
        <w:t xml:space="preserve"> dévoile les soldes migratoire</w:t>
      </w:r>
      <w:r w:rsidR="00E213E2" w:rsidRPr="007B5EFD">
        <w:rPr>
          <w:rFonts w:cstheme="minorHAnsi"/>
          <w:sz w:val="24"/>
          <w:szCs w:val="24"/>
        </w:rPr>
        <w:t>s</w:t>
      </w:r>
      <w:r w:rsidR="00311681" w:rsidRPr="007B5EFD">
        <w:rPr>
          <w:rFonts w:cstheme="minorHAnsi"/>
          <w:sz w:val="24"/>
          <w:szCs w:val="24"/>
        </w:rPr>
        <w:t xml:space="preserve"> entre </w:t>
      </w:r>
      <w:r w:rsidRPr="007B5EFD">
        <w:rPr>
          <w:rFonts w:cstheme="minorHAnsi"/>
          <w:sz w:val="24"/>
          <w:szCs w:val="24"/>
        </w:rPr>
        <w:t>« </w:t>
      </w:r>
      <w:r w:rsidR="00311681" w:rsidRPr="007B5EFD">
        <w:rPr>
          <w:rFonts w:cstheme="minorHAnsi"/>
          <w:sz w:val="24"/>
          <w:szCs w:val="24"/>
        </w:rPr>
        <w:t>entrants</w:t>
      </w:r>
      <w:r w:rsidRPr="007B5EFD">
        <w:rPr>
          <w:rFonts w:cstheme="minorHAnsi"/>
          <w:sz w:val="24"/>
          <w:szCs w:val="24"/>
        </w:rPr>
        <w:t> »</w:t>
      </w:r>
      <w:r w:rsidR="00311681" w:rsidRPr="007B5EFD">
        <w:rPr>
          <w:rFonts w:cstheme="minorHAnsi"/>
          <w:sz w:val="24"/>
          <w:szCs w:val="24"/>
        </w:rPr>
        <w:t xml:space="preserve"> et </w:t>
      </w:r>
      <w:r w:rsidRPr="007B5EFD">
        <w:rPr>
          <w:rFonts w:cstheme="minorHAnsi"/>
          <w:sz w:val="24"/>
          <w:szCs w:val="24"/>
        </w:rPr>
        <w:t>« </w:t>
      </w:r>
      <w:r w:rsidR="00311681" w:rsidRPr="007B5EFD">
        <w:rPr>
          <w:rFonts w:cstheme="minorHAnsi"/>
          <w:sz w:val="24"/>
          <w:szCs w:val="24"/>
        </w:rPr>
        <w:t>sortants</w:t>
      </w:r>
      <w:r w:rsidRPr="007B5EFD">
        <w:rPr>
          <w:rFonts w:cstheme="minorHAnsi"/>
          <w:sz w:val="24"/>
          <w:szCs w:val="24"/>
        </w:rPr>
        <w:t> »</w:t>
      </w:r>
      <w:r w:rsidR="00311681" w:rsidRPr="007B5EFD">
        <w:rPr>
          <w:rFonts w:cstheme="minorHAnsi"/>
          <w:sz w:val="24"/>
          <w:szCs w:val="24"/>
        </w:rPr>
        <w:t xml:space="preserve"> par région administrative</w:t>
      </w:r>
      <w:r w:rsidR="003450C2" w:rsidRPr="007B5EFD">
        <w:rPr>
          <w:rFonts w:cstheme="minorHAnsi"/>
          <w:sz w:val="24"/>
          <w:szCs w:val="24"/>
        </w:rPr>
        <w:t>, grandes villes</w:t>
      </w:r>
      <w:r w:rsidR="00311681" w:rsidRPr="007B5EFD">
        <w:rPr>
          <w:rFonts w:cstheme="minorHAnsi"/>
          <w:sz w:val="24"/>
          <w:szCs w:val="24"/>
        </w:rPr>
        <w:t xml:space="preserve"> et MRC, pour </w:t>
      </w:r>
      <w:r w:rsidR="00800AEF" w:rsidRPr="007B5EFD">
        <w:rPr>
          <w:rFonts w:cstheme="minorHAnsi"/>
          <w:sz w:val="24"/>
          <w:szCs w:val="24"/>
        </w:rPr>
        <w:t>les années 2001-2002 à 2017-2018</w:t>
      </w:r>
      <w:r w:rsidR="00311681" w:rsidRPr="007B5EFD">
        <w:rPr>
          <w:rFonts w:cstheme="minorHAnsi"/>
          <w:sz w:val="24"/>
          <w:szCs w:val="24"/>
        </w:rPr>
        <w:t xml:space="preserve">. </w:t>
      </w:r>
      <w:r w:rsidR="00975FFF">
        <w:rPr>
          <w:rFonts w:cstheme="minorHAnsi"/>
          <w:sz w:val="24"/>
          <w:szCs w:val="24"/>
        </w:rPr>
        <w:t>L’analyse de ces données permet</w:t>
      </w:r>
      <w:r w:rsidR="007F1F42">
        <w:rPr>
          <w:rFonts w:cstheme="minorHAnsi"/>
          <w:sz w:val="24"/>
          <w:szCs w:val="24"/>
        </w:rPr>
        <w:t xml:space="preserve"> </w:t>
      </w:r>
      <w:r w:rsidR="00975FFF">
        <w:rPr>
          <w:rFonts w:cstheme="minorHAnsi"/>
          <w:sz w:val="24"/>
          <w:szCs w:val="24"/>
        </w:rPr>
        <w:t>de constater les signes de tendances</w:t>
      </w:r>
      <w:r w:rsidR="007F1F42">
        <w:rPr>
          <w:rFonts w:cstheme="minorHAnsi"/>
          <w:sz w:val="24"/>
          <w:szCs w:val="24"/>
        </w:rPr>
        <w:t> </w:t>
      </w:r>
      <w:r w:rsidR="003C7AE3">
        <w:rPr>
          <w:rFonts w:cstheme="minorHAnsi"/>
          <w:sz w:val="24"/>
          <w:szCs w:val="24"/>
        </w:rPr>
        <w:t>émergentes</w:t>
      </w:r>
      <w:r w:rsidR="007F1F42">
        <w:rPr>
          <w:rFonts w:cstheme="minorHAnsi"/>
          <w:sz w:val="24"/>
          <w:szCs w:val="24"/>
        </w:rPr>
        <w:t xml:space="preserve">: </w:t>
      </w:r>
      <w:r w:rsidR="00C912C9" w:rsidRPr="007B5EFD">
        <w:rPr>
          <w:rFonts w:cstheme="minorHAnsi"/>
          <w:sz w:val="24"/>
          <w:szCs w:val="24"/>
        </w:rPr>
        <w:t xml:space="preserve">les bilans migratoires des principaux pôles urbains </w:t>
      </w:r>
      <w:r w:rsidR="00975FFF">
        <w:rPr>
          <w:rFonts w:cstheme="minorHAnsi"/>
          <w:sz w:val="24"/>
          <w:szCs w:val="24"/>
        </w:rPr>
        <w:lastRenderedPageBreak/>
        <w:t>enregistrent</w:t>
      </w:r>
      <w:r w:rsidR="007F1F42">
        <w:rPr>
          <w:rFonts w:cstheme="minorHAnsi"/>
          <w:sz w:val="24"/>
          <w:szCs w:val="24"/>
        </w:rPr>
        <w:t xml:space="preserve"> </w:t>
      </w:r>
      <w:r w:rsidR="00C912C9" w:rsidRPr="007B5EFD">
        <w:rPr>
          <w:rFonts w:cstheme="minorHAnsi"/>
          <w:sz w:val="24"/>
          <w:szCs w:val="24"/>
        </w:rPr>
        <w:t xml:space="preserve">des pertes croissantes alors que </w:t>
      </w:r>
      <w:r w:rsidR="007F1F42">
        <w:rPr>
          <w:rFonts w:cstheme="minorHAnsi"/>
          <w:sz w:val="24"/>
          <w:szCs w:val="24"/>
        </w:rPr>
        <w:t>ceux de plusieurs</w:t>
      </w:r>
      <w:r w:rsidR="00C912C9" w:rsidRPr="007B5EFD">
        <w:rPr>
          <w:rFonts w:cstheme="minorHAnsi"/>
          <w:sz w:val="24"/>
          <w:szCs w:val="24"/>
        </w:rPr>
        <w:t xml:space="preserve"> régions</w:t>
      </w:r>
      <w:r w:rsidR="008712F4">
        <w:rPr>
          <w:rFonts w:cstheme="minorHAnsi"/>
          <w:sz w:val="24"/>
          <w:szCs w:val="24"/>
        </w:rPr>
        <w:t>, jusqu’alors négatifs,</w:t>
      </w:r>
      <w:r w:rsidR="00C912C9" w:rsidRPr="007B5EFD">
        <w:rPr>
          <w:rFonts w:cstheme="minorHAnsi"/>
          <w:sz w:val="24"/>
          <w:szCs w:val="24"/>
        </w:rPr>
        <w:t xml:space="preserve"> s’atténuent, </w:t>
      </w:r>
      <w:r w:rsidRPr="007B5EFD">
        <w:rPr>
          <w:rFonts w:cstheme="minorHAnsi"/>
          <w:sz w:val="24"/>
          <w:szCs w:val="24"/>
        </w:rPr>
        <w:t>sont même</w:t>
      </w:r>
      <w:r w:rsidR="00C912C9" w:rsidRPr="007B5EFD">
        <w:rPr>
          <w:rFonts w:cstheme="minorHAnsi"/>
          <w:sz w:val="24"/>
          <w:szCs w:val="24"/>
        </w:rPr>
        <w:t xml:space="preserve"> renversés</w:t>
      </w:r>
      <w:r w:rsidR="00937B93" w:rsidRPr="007B5EFD">
        <w:rPr>
          <w:rFonts w:cstheme="minorHAnsi"/>
          <w:sz w:val="24"/>
          <w:szCs w:val="24"/>
        </w:rPr>
        <w:t>, principalement depuis 2010</w:t>
      </w:r>
      <w:r w:rsidR="00C912C9" w:rsidRPr="007B5EFD">
        <w:rPr>
          <w:rFonts w:cstheme="minorHAnsi"/>
          <w:sz w:val="24"/>
          <w:szCs w:val="24"/>
        </w:rPr>
        <w:t>.</w:t>
      </w:r>
      <w:r w:rsidR="00380B88" w:rsidRPr="007B5EFD">
        <w:rPr>
          <w:rFonts w:cstheme="minorHAnsi"/>
          <w:sz w:val="24"/>
          <w:szCs w:val="24"/>
        </w:rPr>
        <w:t xml:space="preserve"> Ainsi, </w:t>
      </w:r>
      <w:r w:rsidR="00380B88" w:rsidRPr="007B5EFD">
        <w:rPr>
          <w:rFonts w:eastAsia="Times New Roman" w:cstheme="minorHAnsi"/>
          <w:sz w:val="24"/>
          <w:szCs w:val="24"/>
          <w:lang w:eastAsia="fr-CA"/>
        </w:rPr>
        <w:t xml:space="preserve">Montréal a perdu </w:t>
      </w:r>
      <w:r w:rsidR="00576333" w:rsidRPr="007B5EFD">
        <w:rPr>
          <w:rFonts w:eastAsia="Times New Roman" w:cstheme="minorHAnsi"/>
          <w:sz w:val="24"/>
          <w:szCs w:val="24"/>
          <w:lang w:eastAsia="fr-CA"/>
        </w:rPr>
        <w:t>150 177</w:t>
      </w:r>
      <w:r w:rsidR="00380B88" w:rsidRPr="007B5EFD">
        <w:rPr>
          <w:rFonts w:eastAsia="Times New Roman" w:cstheme="minorHAnsi"/>
          <w:sz w:val="24"/>
          <w:szCs w:val="24"/>
          <w:lang w:eastAsia="fr-CA"/>
        </w:rPr>
        <w:t xml:space="preserve"> personnes dans ses échanges interrégionaux entre 201</w:t>
      </w:r>
      <w:r w:rsidR="00576333" w:rsidRPr="007B5EFD">
        <w:rPr>
          <w:rFonts w:eastAsia="Times New Roman" w:cstheme="minorHAnsi"/>
          <w:sz w:val="24"/>
          <w:szCs w:val="24"/>
          <w:lang w:eastAsia="fr-CA"/>
        </w:rPr>
        <w:t>0-2011</w:t>
      </w:r>
      <w:r w:rsidR="00380B88" w:rsidRPr="007B5EFD">
        <w:rPr>
          <w:rFonts w:eastAsia="Times New Roman" w:cstheme="minorHAnsi"/>
          <w:sz w:val="24"/>
          <w:szCs w:val="24"/>
          <w:lang w:eastAsia="fr-CA"/>
        </w:rPr>
        <w:t xml:space="preserve"> et 201</w:t>
      </w:r>
      <w:r w:rsidR="00576333" w:rsidRPr="007B5EFD">
        <w:rPr>
          <w:rFonts w:eastAsia="Times New Roman" w:cstheme="minorHAnsi"/>
          <w:sz w:val="24"/>
          <w:szCs w:val="24"/>
          <w:lang w:eastAsia="fr-CA"/>
        </w:rPr>
        <w:t>7-2018</w:t>
      </w:r>
      <w:r w:rsidR="00380B88" w:rsidRPr="007B5EFD">
        <w:rPr>
          <w:rFonts w:eastAsia="Times New Roman" w:cstheme="minorHAnsi"/>
          <w:sz w:val="24"/>
          <w:szCs w:val="24"/>
          <w:lang w:eastAsia="fr-CA"/>
        </w:rPr>
        <w:t>,</w:t>
      </w:r>
      <w:r w:rsidR="0043615D" w:rsidRPr="007B5EFD">
        <w:rPr>
          <w:rFonts w:eastAsia="Times New Roman" w:cstheme="minorHAnsi"/>
          <w:sz w:val="24"/>
          <w:szCs w:val="24"/>
          <w:lang w:eastAsia="fr-CA"/>
        </w:rPr>
        <w:t xml:space="preserve"> </w:t>
      </w:r>
      <w:r w:rsidR="008712F4">
        <w:rPr>
          <w:rFonts w:eastAsia="Times New Roman" w:cstheme="minorHAnsi"/>
          <w:sz w:val="24"/>
          <w:szCs w:val="24"/>
          <w:lang w:eastAsia="fr-CA"/>
        </w:rPr>
        <w:t>dont</w:t>
      </w:r>
      <w:r w:rsidR="0043615D" w:rsidRPr="007B5EFD">
        <w:rPr>
          <w:rFonts w:eastAsia="Times New Roman" w:cstheme="minorHAnsi"/>
          <w:sz w:val="24"/>
          <w:szCs w:val="24"/>
          <w:lang w:eastAsia="fr-CA"/>
        </w:rPr>
        <w:t xml:space="preserve"> 23 663 pour la seule année 2017-2018. </w:t>
      </w:r>
      <w:r w:rsidR="00BC6841">
        <w:rPr>
          <w:rFonts w:eastAsia="Times New Roman" w:cstheme="minorHAnsi"/>
          <w:sz w:val="24"/>
          <w:szCs w:val="24"/>
          <w:lang w:eastAsia="fr-CA"/>
        </w:rPr>
        <w:t>À Québec, s</w:t>
      </w:r>
      <w:r w:rsidR="0043615D" w:rsidRPr="007B5EFD">
        <w:rPr>
          <w:rFonts w:eastAsia="Times New Roman" w:cstheme="minorHAnsi"/>
          <w:sz w:val="24"/>
          <w:szCs w:val="24"/>
          <w:lang w:eastAsia="fr-CA"/>
        </w:rPr>
        <w:t>ans être négatif</w:t>
      </w:r>
      <w:r w:rsidR="00576333" w:rsidRPr="007B5EFD">
        <w:rPr>
          <w:rFonts w:eastAsia="Times New Roman" w:cstheme="minorHAnsi"/>
          <w:sz w:val="24"/>
          <w:szCs w:val="24"/>
          <w:lang w:eastAsia="fr-CA"/>
        </w:rPr>
        <w:t>s</w:t>
      </w:r>
      <w:r w:rsidR="0043615D" w:rsidRPr="007B5EFD">
        <w:rPr>
          <w:rFonts w:eastAsia="Times New Roman" w:cstheme="minorHAnsi"/>
          <w:sz w:val="24"/>
          <w:szCs w:val="24"/>
          <w:lang w:eastAsia="fr-CA"/>
        </w:rPr>
        <w:t xml:space="preserve"> le</w:t>
      </w:r>
      <w:r w:rsidR="00576333" w:rsidRPr="007B5EFD">
        <w:rPr>
          <w:rFonts w:eastAsia="Times New Roman" w:cstheme="minorHAnsi"/>
          <w:sz w:val="24"/>
          <w:szCs w:val="24"/>
          <w:lang w:eastAsia="fr-CA"/>
        </w:rPr>
        <w:t>s</w:t>
      </w:r>
      <w:r w:rsidR="0043615D" w:rsidRPr="007B5EFD">
        <w:rPr>
          <w:rFonts w:eastAsia="Times New Roman" w:cstheme="minorHAnsi"/>
          <w:sz w:val="24"/>
          <w:szCs w:val="24"/>
          <w:lang w:eastAsia="fr-CA"/>
        </w:rPr>
        <w:t xml:space="preserve"> solde</w:t>
      </w:r>
      <w:r w:rsidR="00576333" w:rsidRPr="007B5EFD">
        <w:rPr>
          <w:rFonts w:eastAsia="Times New Roman" w:cstheme="minorHAnsi"/>
          <w:sz w:val="24"/>
          <w:szCs w:val="24"/>
          <w:lang w:eastAsia="fr-CA"/>
        </w:rPr>
        <w:t>s</w:t>
      </w:r>
      <w:r w:rsidR="0043615D" w:rsidRPr="007B5EFD">
        <w:rPr>
          <w:rFonts w:eastAsia="Times New Roman" w:cstheme="minorHAnsi"/>
          <w:sz w:val="24"/>
          <w:szCs w:val="24"/>
          <w:lang w:eastAsia="fr-CA"/>
        </w:rPr>
        <w:t xml:space="preserve"> </w:t>
      </w:r>
      <w:r w:rsidR="00C72FE2" w:rsidRPr="007B5EFD">
        <w:rPr>
          <w:rFonts w:eastAsia="Times New Roman" w:cstheme="minorHAnsi"/>
          <w:sz w:val="24"/>
          <w:szCs w:val="24"/>
          <w:lang w:eastAsia="fr-CA"/>
        </w:rPr>
        <w:t>migratoire</w:t>
      </w:r>
      <w:r w:rsidR="00576333" w:rsidRPr="007B5EFD">
        <w:rPr>
          <w:rFonts w:eastAsia="Times New Roman" w:cstheme="minorHAnsi"/>
          <w:sz w:val="24"/>
          <w:szCs w:val="24"/>
          <w:lang w:eastAsia="fr-CA"/>
        </w:rPr>
        <w:t>s</w:t>
      </w:r>
      <w:r w:rsidR="00C72FE2" w:rsidRPr="007B5EFD">
        <w:rPr>
          <w:rFonts w:eastAsia="Times New Roman" w:cstheme="minorHAnsi"/>
          <w:sz w:val="24"/>
          <w:szCs w:val="24"/>
          <w:lang w:eastAsia="fr-CA"/>
        </w:rPr>
        <w:t xml:space="preserve"> </w:t>
      </w:r>
      <w:r w:rsidR="00395C53" w:rsidRPr="007B5EFD">
        <w:rPr>
          <w:rFonts w:eastAsia="Times New Roman" w:cstheme="minorHAnsi"/>
          <w:sz w:val="24"/>
          <w:szCs w:val="24"/>
          <w:lang w:eastAsia="fr-CA"/>
        </w:rPr>
        <w:t>sont</w:t>
      </w:r>
      <w:r w:rsidR="0043615D" w:rsidRPr="007B5EFD">
        <w:rPr>
          <w:rFonts w:eastAsia="Times New Roman" w:cstheme="minorHAnsi"/>
          <w:sz w:val="24"/>
          <w:szCs w:val="24"/>
          <w:lang w:eastAsia="fr-CA"/>
        </w:rPr>
        <w:t xml:space="preserve"> faible</w:t>
      </w:r>
      <w:r w:rsidR="00937B93" w:rsidRPr="007B5EFD">
        <w:rPr>
          <w:rFonts w:eastAsia="Times New Roman" w:cstheme="minorHAnsi"/>
          <w:sz w:val="24"/>
          <w:szCs w:val="24"/>
          <w:lang w:eastAsia="fr-CA"/>
        </w:rPr>
        <w:t>s</w:t>
      </w:r>
      <w:r w:rsidR="003C7AE3">
        <w:rPr>
          <w:rFonts w:eastAsia="Times New Roman" w:cstheme="minorHAnsi"/>
          <w:sz w:val="24"/>
          <w:szCs w:val="24"/>
          <w:lang w:eastAsia="fr-CA"/>
        </w:rPr>
        <w:t>,</w:t>
      </w:r>
      <w:r w:rsidR="0043615D" w:rsidRPr="007B5EFD">
        <w:rPr>
          <w:rFonts w:eastAsia="Times New Roman" w:cstheme="minorHAnsi"/>
          <w:sz w:val="24"/>
          <w:szCs w:val="24"/>
          <w:lang w:eastAsia="fr-CA"/>
        </w:rPr>
        <w:t xml:space="preserve"> </w:t>
      </w:r>
      <w:r w:rsidR="00395C53" w:rsidRPr="007B5EFD">
        <w:rPr>
          <w:rFonts w:eastAsia="Times New Roman" w:cstheme="minorHAnsi"/>
          <w:sz w:val="24"/>
          <w:szCs w:val="24"/>
          <w:lang w:eastAsia="fr-CA"/>
        </w:rPr>
        <w:t>soit une moyenne annuelle de 416 entre 2010-2011 et 201</w:t>
      </w:r>
      <w:r w:rsidR="00680801" w:rsidRPr="007B5EFD">
        <w:rPr>
          <w:rFonts w:eastAsia="Times New Roman" w:cstheme="minorHAnsi"/>
          <w:sz w:val="24"/>
          <w:szCs w:val="24"/>
          <w:lang w:eastAsia="fr-CA"/>
        </w:rPr>
        <w:t>7</w:t>
      </w:r>
      <w:r w:rsidR="00395C53" w:rsidRPr="007B5EFD">
        <w:rPr>
          <w:rFonts w:eastAsia="Times New Roman" w:cstheme="minorHAnsi"/>
          <w:sz w:val="24"/>
          <w:szCs w:val="24"/>
          <w:lang w:eastAsia="fr-CA"/>
        </w:rPr>
        <w:t>-2018</w:t>
      </w:r>
      <w:r w:rsidR="0043615D" w:rsidRPr="007B5EFD">
        <w:rPr>
          <w:rFonts w:eastAsia="Times New Roman" w:cstheme="minorHAnsi"/>
          <w:sz w:val="24"/>
          <w:szCs w:val="24"/>
          <w:lang w:eastAsia="fr-CA"/>
        </w:rPr>
        <w:t xml:space="preserve">. </w:t>
      </w:r>
      <w:r w:rsidR="00937B93" w:rsidRPr="007B5EFD">
        <w:rPr>
          <w:rFonts w:eastAsia="Times New Roman" w:cstheme="minorHAnsi"/>
          <w:sz w:val="24"/>
          <w:szCs w:val="24"/>
          <w:lang w:eastAsia="fr-CA"/>
        </w:rPr>
        <w:t>Ce mouvement prend la forme d’un véritable exode urbain</w:t>
      </w:r>
      <w:r w:rsidR="006359B2" w:rsidRPr="007B5EFD">
        <w:rPr>
          <w:rFonts w:eastAsia="Times New Roman" w:cstheme="minorHAnsi"/>
          <w:sz w:val="24"/>
          <w:szCs w:val="24"/>
          <w:lang w:eastAsia="fr-CA"/>
        </w:rPr>
        <w:t>.</w:t>
      </w:r>
    </w:p>
    <w:p w14:paraId="7CF8BBA8" w14:textId="77777777" w:rsidR="00C72FE2" w:rsidRPr="00242140" w:rsidRDefault="00C72FE2" w:rsidP="00794A1B">
      <w:pPr>
        <w:spacing w:after="0" w:line="240" w:lineRule="auto"/>
        <w:jc w:val="both"/>
        <w:rPr>
          <w:rFonts w:eastAsia="Times New Roman" w:cstheme="minorHAnsi"/>
          <w:sz w:val="16"/>
          <w:szCs w:val="16"/>
          <w:lang w:eastAsia="fr-CA"/>
        </w:rPr>
      </w:pPr>
    </w:p>
    <w:p w14:paraId="5DCD2F94" w14:textId="6492F403" w:rsidR="00C72FE2" w:rsidRPr="007B5EFD" w:rsidRDefault="00C72FE2" w:rsidP="00794A1B">
      <w:pPr>
        <w:spacing w:after="0" w:line="240" w:lineRule="auto"/>
        <w:jc w:val="both"/>
        <w:rPr>
          <w:rFonts w:eastAsia="Times New Roman" w:cstheme="minorHAnsi"/>
          <w:sz w:val="24"/>
          <w:szCs w:val="24"/>
          <w:lang w:eastAsia="fr-CA"/>
        </w:rPr>
      </w:pPr>
      <w:r w:rsidRPr="007B5EFD">
        <w:rPr>
          <w:rFonts w:eastAsia="Times New Roman" w:cstheme="minorHAnsi"/>
          <w:sz w:val="24"/>
          <w:szCs w:val="24"/>
          <w:lang w:eastAsia="fr-CA"/>
        </w:rPr>
        <w:t xml:space="preserve">Les couronnes périurbaines </w:t>
      </w:r>
      <w:r w:rsidR="001A3EA6" w:rsidRPr="007B5EFD">
        <w:rPr>
          <w:rFonts w:eastAsia="Times New Roman" w:cstheme="minorHAnsi"/>
          <w:sz w:val="24"/>
          <w:szCs w:val="24"/>
          <w:lang w:eastAsia="fr-CA"/>
        </w:rPr>
        <w:t xml:space="preserve">et les régions voisines </w:t>
      </w:r>
      <w:r w:rsidRPr="007B5EFD">
        <w:rPr>
          <w:rFonts w:eastAsia="Times New Roman" w:cstheme="minorHAnsi"/>
          <w:sz w:val="24"/>
          <w:szCs w:val="24"/>
          <w:lang w:eastAsia="fr-CA"/>
        </w:rPr>
        <w:t xml:space="preserve">de Montréal et de Québec </w:t>
      </w:r>
      <w:r w:rsidR="001A3EA6" w:rsidRPr="007B5EFD">
        <w:rPr>
          <w:rFonts w:eastAsia="Times New Roman" w:cstheme="minorHAnsi"/>
          <w:sz w:val="24"/>
          <w:szCs w:val="24"/>
          <w:lang w:eastAsia="fr-CA"/>
        </w:rPr>
        <w:t xml:space="preserve">(Montérégie, Lanaudière, Les Laurentides, Capitale nationale) </w:t>
      </w:r>
      <w:r w:rsidRPr="007B5EFD">
        <w:rPr>
          <w:rFonts w:eastAsia="Times New Roman" w:cstheme="minorHAnsi"/>
          <w:sz w:val="24"/>
          <w:szCs w:val="24"/>
          <w:lang w:eastAsia="fr-CA"/>
        </w:rPr>
        <w:t>sont largement bénéficiaires de ces déplacements</w:t>
      </w:r>
      <w:r w:rsidR="001A3EA6" w:rsidRPr="007B5EFD">
        <w:rPr>
          <w:rFonts w:eastAsia="Times New Roman" w:cstheme="minorHAnsi"/>
          <w:sz w:val="24"/>
          <w:szCs w:val="24"/>
          <w:lang w:eastAsia="fr-CA"/>
        </w:rPr>
        <w:t>,</w:t>
      </w:r>
      <w:r w:rsidRPr="007B5EFD">
        <w:rPr>
          <w:rFonts w:eastAsia="Times New Roman" w:cstheme="minorHAnsi"/>
          <w:sz w:val="24"/>
          <w:szCs w:val="24"/>
          <w:lang w:eastAsia="fr-CA"/>
        </w:rPr>
        <w:t xml:space="preserve"> mais pas exclusivement. Les régions</w:t>
      </w:r>
      <w:r w:rsidR="001A3EA6" w:rsidRPr="007B5EFD">
        <w:rPr>
          <w:rFonts w:eastAsia="Times New Roman" w:cstheme="minorHAnsi"/>
          <w:sz w:val="24"/>
          <w:szCs w:val="24"/>
          <w:lang w:eastAsia="fr-CA"/>
        </w:rPr>
        <w:t xml:space="preserve"> intermédiaires et périphériques </w:t>
      </w:r>
      <w:r w:rsidR="00937B93" w:rsidRPr="007B5EFD">
        <w:rPr>
          <w:rFonts w:eastAsia="Times New Roman" w:cstheme="minorHAnsi"/>
          <w:sz w:val="24"/>
          <w:szCs w:val="24"/>
          <w:lang w:eastAsia="fr-CA"/>
        </w:rPr>
        <w:t xml:space="preserve">(régions-ressources) </w:t>
      </w:r>
      <w:r w:rsidRPr="007B5EFD">
        <w:rPr>
          <w:rFonts w:eastAsia="Times New Roman" w:cstheme="minorHAnsi"/>
          <w:sz w:val="24"/>
          <w:szCs w:val="24"/>
          <w:lang w:eastAsia="fr-CA"/>
        </w:rPr>
        <w:t xml:space="preserve">avec leurs villes petites et moyennes et </w:t>
      </w:r>
      <w:r w:rsidR="00937B93" w:rsidRPr="007B5EFD">
        <w:rPr>
          <w:rFonts w:eastAsia="Times New Roman" w:cstheme="minorHAnsi"/>
          <w:sz w:val="24"/>
          <w:szCs w:val="24"/>
          <w:lang w:eastAsia="fr-CA"/>
        </w:rPr>
        <w:t>territoires ruraux</w:t>
      </w:r>
      <w:r w:rsidR="001A3EA6" w:rsidRPr="007B5EFD">
        <w:rPr>
          <w:rFonts w:eastAsia="Times New Roman" w:cstheme="minorHAnsi"/>
          <w:sz w:val="24"/>
          <w:szCs w:val="24"/>
          <w:lang w:eastAsia="fr-CA"/>
        </w:rPr>
        <w:t>,</w:t>
      </w:r>
      <w:r w:rsidRPr="007B5EFD">
        <w:rPr>
          <w:rFonts w:eastAsia="Times New Roman" w:cstheme="minorHAnsi"/>
          <w:sz w:val="24"/>
          <w:szCs w:val="24"/>
          <w:lang w:eastAsia="fr-CA"/>
        </w:rPr>
        <w:t xml:space="preserve"> tirent aussi profit de</w:t>
      </w:r>
      <w:r w:rsidR="00937B93" w:rsidRPr="007B5EFD">
        <w:rPr>
          <w:rFonts w:eastAsia="Times New Roman" w:cstheme="minorHAnsi"/>
          <w:sz w:val="24"/>
          <w:szCs w:val="24"/>
          <w:lang w:eastAsia="fr-CA"/>
        </w:rPr>
        <w:t xml:space="preserve"> </w:t>
      </w:r>
      <w:r w:rsidR="006359B2" w:rsidRPr="007B5EFD">
        <w:rPr>
          <w:rFonts w:eastAsia="Times New Roman" w:cstheme="minorHAnsi"/>
          <w:sz w:val="24"/>
          <w:szCs w:val="24"/>
          <w:lang w:eastAsia="fr-CA"/>
        </w:rPr>
        <w:t xml:space="preserve">cet </w:t>
      </w:r>
      <w:r w:rsidR="00937B93" w:rsidRPr="007B5EFD">
        <w:rPr>
          <w:rFonts w:eastAsia="Times New Roman" w:cstheme="minorHAnsi"/>
          <w:sz w:val="24"/>
          <w:szCs w:val="24"/>
          <w:lang w:eastAsia="fr-CA"/>
        </w:rPr>
        <w:t>exode qui frappe les grands centres</w:t>
      </w:r>
      <w:r w:rsidRPr="007B5EFD">
        <w:rPr>
          <w:rFonts w:eastAsia="Times New Roman" w:cstheme="minorHAnsi"/>
          <w:sz w:val="24"/>
          <w:szCs w:val="24"/>
          <w:lang w:eastAsia="fr-CA"/>
        </w:rPr>
        <w:t>.</w:t>
      </w:r>
      <w:r w:rsidR="003C013E" w:rsidRPr="007B5EFD">
        <w:rPr>
          <w:rFonts w:eastAsia="Times New Roman" w:cstheme="minorHAnsi"/>
          <w:sz w:val="24"/>
          <w:szCs w:val="24"/>
          <w:lang w:eastAsia="fr-CA"/>
        </w:rPr>
        <w:t xml:space="preserve"> </w:t>
      </w:r>
      <w:r w:rsidR="00242140">
        <w:rPr>
          <w:rFonts w:eastAsia="Times New Roman" w:cstheme="minorHAnsi"/>
          <w:sz w:val="24"/>
          <w:szCs w:val="24"/>
          <w:lang w:eastAsia="fr-CA"/>
        </w:rPr>
        <w:t>L</w:t>
      </w:r>
      <w:r w:rsidR="006359B2" w:rsidRPr="007B5EFD">
        <w:rPr>
          <w:rFonts w:eastAsia="Times New Roman" w:cstheme="minorHAnsi"/>
          <w:sz w:val="24"/>
          <w:szCs w:val="24"/>
          <w:lang w:eastAsia="fr-CA"/>
        </w:rPr>
        <w:t xml:space="preserve">es </w:t>
      </w:r>
      <w:r w:rsidR="00306D18" w:rsidRPr="007B5EFD">
        <w:rPr>
          <w:rFonts w:eastAsia="Times New Roman" w:cstheme="minorHAnsi"/>
          <w:sz w:val="24"/>
          <w:szCs w:val="24"/>
          <w:lang w:eastAsia="fr-CA"/>
        </w:rPr>
        <w:t>écart</w:t>
      </w:r>
      <w:r w:rsidR="006359B2" w:rsidRPr="007B5EFD">
        <w:rPr>
          <w:rFonts w:eastAsia="Times New Roman" w:cstheme="minorHAnsi"/>
          <w:sz w:val="24"/>
          <w:szCs w:val="24"/>
          <w:lang w:eastAsia="fr-CA"/>
        </w:rPr>
        <w:t>s</w:t>
      </w:r>
      <w:r w:rsidR="00306D18" w:rsidRPr="007B5EFD">
        <w:rPr>
          <w:rFonts w:eastAsia="Times New Roman" w:cstheme="minorHAnsi"/>
          <w:sz w:val="24"/>
          <w:szCs w:val="24"/>
          <w:lang w:eastAsia="fr-CA"/>
        </w:rPr>
        <w:t xml:space="preserve"> entre entrants et sortants ont </w:t>
      </w:r>
      <w:r w:rsidR="006359B2" w:rsidRPr="007B5EFD">
        <w:rPr>
          <w:rFonts w:eastAsia="Times New Roman" w:cstheme="minorHAnsi"/>
          <w:sz w:val="24"/>
          <w:szCs w:val="24"/>
          <w:lang w:eastAsia="fr-CA"/>
        </w:rPr>
        <w:t>eu ici</w:t>
      </w:r>
      <w:r w:rsidR="008712F4">
        <w:rPr>
          <w:rFonts w:eastAsia="Times New Roman" w:cstheme="minorHAnsi"/>
          <w:sz w:val="24"/>
          <w:szCs w:val="24"/>
          <w:lang w:eastAsia="fr-CA"/>
        </w:rPr>
        <w:t>, outre la Côte-Nord,</w:t>
      </w:r>
      <w:r w:rsidR="006359B2" w:rsidRPr="007B5EFD">
        <w:rPr>
          <w:rFonts w:eastAsia="Times New Roman" w:cstheme="minorHAnsi"/>
          <w:sz w:val="24"/>
          <w:szCs w:val="24"/>
          <w:lang w:eastAsia="fr-CA"/>
        </w:rPr>
        <w:t xml:space="preserve"> </w:t>
      </w:r>
      <w:r w:rsidR="005325A5" w:rsidRPr="007B5EFD">
        <w:rPr>
          <w:rFonts w:eastAsia="Times New Roman" w:cstheme="minorHAnsi"/>
          <w:sz w:val="24"/>
          <w:szCs w:val="24"/>
          <w:lang w:eastAsia="fr-CA"/>
        </w:rPr>
        <w:t xml:space="preserve">une évolution </w:t>
      </w:r>
      <w:r w:rsidR="008712F4">
        <w:rPr>
          <w:rFonts w:eastAsia="Times New Roman" w:cstheme="minorHAnsi"/>
          <w:sz w:val="24"/>
          <w:szCs w:val="24"/>
          <w:lang w:eastAsia="fr-CA"/>
        </w:rPr>
        <w:t>variable mais positive dans l’ensemble, particulièrement</w:t>
      </w:r>
      <w:r w:rsidR="00273258">
        <w:rPr>
          <w:rFonts w:eastAsia="Times New Roman" w:cstheme="minorHAnsi"/>
          <w:sz w:val="24"/>
          <w:szCs w:val="24"/>
          <w:lang w:eastAsia="fr-CA"/>
        </w:rPr>
        <w:t xml:space="preserve"> </w:t>
      </w:r>
      <w:r w:rsidR="008712F4">
        <w:rPr>
          <w:rFonts w:eastAsia="Times New Roman" w:cstheme="minorHAnsi"/>
          <w:sz w:val="24"/>
          <w:szCs w:val="24"/>
          <w:lang w:eastAsia="fr-CA"/>
        </w:rPr>
        <w:t>depuis 2010</w:t>
      </w:r>
      <w:r w:rsidR="00273258">
        <w:rPr>
          <w:rFonts w:eastAsia="Times New Roman" w:cstheme="minorHAnsi"/>
          <w:sz w:val="24"/>
          <w:szCs w:val="24"/>
          <w:lang w:eastAsia="fr-CA"/>
        </w:rPr>
        <w:t>.</w:t>
      </w:r>
      <w:r w:rsidR="005325A5" w:rsidRPr="007B5EFD">
        <w:rPr>
          <w:rFonts w:eastAsia="Times New Roman" w:cstheme="minorHAnsi"/>
          <w:sz w:val="24"/>
          <w:szCs w:val="24"/>
          <w:lang w:eastAsia="fr-CA"/>
        </w:rPr>
        <w:t xml:space="preserve"> </w:t>
      </w:r>
      <w:r w:rsidR="00273258">
        <w:rPr>
          <w:rFonts w:eastAsia="Times New Roman" w:cstheme="minorHAnsi"/>
          <w:sz w:val="24"/>
          <w:szCs w:val="24"/>
          <w:lang w:eastAsia="fr-CA"/>
        </w:rPr>
        <w:t>T</w:t>
      </w:r>
      <w:r w:rsidR="005325A5" w:rsidRPr="007B5EFD">
        <w:rPr>
          <w:rFonts w:eastAsia="Times New Roman" w:cstheme="minorHAnsi"/>
          <w:sz w:val="24"/>
          <w:szCs w:val="24"/>
          <w:lang w:eastAsia="fr-CA"/>
        </w:rPr>
        <w:t>rois des sept régions-ressources parvenant même à renverser la tendance négative</w:t>
      </w:r>
      <w:r w:rsidR="00273258">
        <w:rPr>
          <w:rFonts w:eastAsia="Times New Roman" w:cstheme="minorHAnsi"/>
          <w:sz w:val="24"/>
          <w:szCs w:val="24"/>
          <w:lang w:eastAsia="fr-CA"/>
        </w:rPr>
        <w:t xml:space="preserve"> du début des années 2000</w:t>
      </w:r>
      <w:r w:rsidR="005325A5" w:rsidRPr="007B5EFD">
        <w:rPr>
          <w:rFonts w:eastAsia="Times New Roman" w:cstheme="minorHAnsi"/>
          <w:sz w:val="24"/>
          <w:szCs w:val="24"/>
          <w:lang w:eastAsia="fr-CA"/>
        </w:rPr>
        <w:t>.</w:t>
      </w:r>
      <w:r w:rsidR="00242140">
        <w:rPr>
          <w:rFonts w:eastAsia="Times New Roman" w:cstheme="minorHAnsi"/>
          <w:sz w:val="24"/>
          <w:szCs w:val="24"/>
          <w:lang w:eastAsia="fr-CA"/>
        </w:rPr>
        <w:t xml:space="preserve"> </w:t>
      </w:r>
    </w:p>
    <w:p w14:paraId="69CF12DB" w14:textId="48135B63" w:rsidR="00632EDA" w:rsidRPr="0000619B" w:rsidRDefault="00632EDA" w:rsidP="00794A1B">
      <w:pPr>
        <w:spacing w:after="0" w:line="240" w:lineRule="auto"/>
        <w:jc w:val="both"/>
        <w:rPr>
          <w:rFonts w:eastAsia="Times New Roman" w:cstheme="minorHAnsi"/>
          <w:sz w:val="16"/>
          <w:szCs w:val="16"/>
          <w:lang w:eastAsia="fr-CA"/>
        </w:rPr>
      </w:pPr>
    </w:p>
    <w:tbl>
      <w:tblPr>
        <w:tblStyle w:val="Grilledutableau"/>
        <w:tblW w:w="0" w:type="auto"/>
        <w:tblInd w:w="562" w:type="dxa"/>
        <w:tblLook w:val="04A0" w:firstRow="1" w:lastRow="0" w:firstColumn="1" w:lastColumn="0" w:noHBand="0" w:noVBand="1"/>
      </w:tblPr>
      <w:tblGrid>
        <w:gridCol w:w="3529"/>
        <w:gridCol w:w="2000"/>
        <w:gridCol w:w="1984"/>
      </w:tblGrid>
      <w:tr w:rsidR="004B497A" w:rsidRPr="007B5EFD" w14:paraId="33F43550" w14:textId="261016F4" w:rsidTr="009A4CFE">
        <w:trPr>
          <w:trHeight w:val="292"/>
        </w:trPr>
        <w:tc>
          <w:tcPr>
            <w:tcW w:w="3529" w:type="dxa"/>
          </w:tcPr>
          <w:p w14:paraId="7D470583" w14:textId="2AF169B4" w:rsidR="004B497A" w:rsidRPr="007B5EFD" w:rsidRDefault="004B497A" w:rsidP="00794A1B">
            <w:pPr>
              <w:jc w:val="both"/>
              <w:rPr>
                <w:rFonts w:eastAsia="Times New Roman" w:cstheme="minorHAnsi"/>
                <w:b/>
                <w:bCs/>
                <w:sz w:val="24"/>
                <w:szCs w:val="24"/>
                <w:lang w:eastAsia="fr-CA"/>
              </w:rPr>
            </w:pPr>
            <w:r w:rsidRPr="007B5EFD">
              <w:rPr>
                <w:rFonts w:eastAsia="Times New Roman" w:cstheme="minorHAnsi"/>
                <w:b/>
                <w:bCs/>
                <w:sz w:val="24"/>
                <w:szCs w:val="24"/>
                <w:lang w:eastAsia="fr-CA"/>
              </w:rPr>
              <w:t xml:space="preserve">          Région-ressource</w:t>
            </w:r>
          </w:p>
        </w:tc>
        <w:tc>
          <w:tcPr>
            <w:tcW w:w="2000" w:type="dxa"/>
          </w:tcPr>
          <w:p w14:paraId="28AB67B4" w14:textId="29B5C694" w:rsidR="004B497A" w:rsidRPr="007B5EFD" w:rsidRDefault="004B497A" w:rsidP="00794A1B">
            <w:pPr>
              <w:jc w:val="both"/>
              <w:rPr>
                <w:rFonts w:eastAsia="Times New Roman" w:cstheme="minorHAnsi"/>
                <w:b/>
                <w:bCs/>
                <w:sz w:val="24"/>
                <w:szCs w:val="24"/>
                <w:lang w:eastAsia="fr-CA"/>
              </w:rPr>
            </w:pPr>
            <w:r w:rsidRPr="007B5EFD">
              <w:rPr>
                <w:rFonts w:eastAsia="Times New Roman" w:cstheme="minorHAnsi"/>
                <w:b/>
                <w:bCs/>
                <w:sz w:val="24"/>
                <w:szCs w:val="24"/>
                <w:lang w:eastAsia="fr-CA"/>
              </w:rPr>
              <w:t xml:space="preserve">      2001-2002</w:t>
            </w:r>
          </w:p>
        </w:tc>
        <w:tc>
          <w:tcPr>
            <w:tcW w:w="1984" w:type="dxa"/>
          </w:tcPr>
          <w:p w14:paraId="52B63AA2" w14:textId="3D43A06C" w:rsidR="004B497A" w:rsidRPr="007B5EFD" w:rsidRDefault="004B497A" w:rsidP="00794A1B">
            <w:pPr>
              <w:jc w:val="both"/>
              <w:rPr>
                <w:rFonts w:eastAsia="Times New Roman" w:cstheme="minorHAnsi"/>
                <w:b/>
                <w:bCs/>
                <w:sz w:val="24"/>
                <w:szCs w:val="24"/>
                <w:lang w:eastAsia="fr-CA"/>
              </w:rPr>
            </w:pPr>
            <w:r w:rsidRPr="007B5EFD">
              <w:rPr>
                <w:rFonts w:eastAsia="Times New Roman" w:cstheme="minorHAnsi"/>
                <w:b/>
                <w:bCs/>
                <w:sz w:val="24"/>
                <w:szCs w:val="24"/>
                <w:lang w:eastAsia="fr-CA"/>
              </w:rPr>
              <w:t xml:space="preserve">     2017-2018</w:t>
            </w:r>
          </w:p>
        </w:tc>
      </w:tr>
      <w:tr w:rsidR="004B497A" w:rsidRPr="007B5EFD" w14:paraId="79B45A1D" w14:textId="7BCB4997" w:rsidTr="009A4CFE">
        <w:trPr>
          <w:trHeight w:val="306"/>
        </w:trPr>
        <w:tc>
          <w:tcPr>
            <w:tcW w:w="3529" w:type="dxa"/>
          </w:tcPr>
          <w:p w14:paraId="3AAE1D72" w14:textId="17DEC863" w:rsidR="004B497A" w:rsidRPr="007B5EFD" w:rsidRDefault="004B497A" w:rsidP="00794A1B">
            <w:pPr>
              <w:jc w:val="both"/>
              <w:rPr>
                <w:rFonts w:eastAsia="Times New Roman" w:cstheme="minorHAnsi"/>
                <w:sz w:val="24"/>
                <w:szCs w:val="24"/>
                <w:lang w:eastAsia="fr-CA"/>
              </w:rPr>
            </w:pPr>
            <w:r w:rsidRPr="007B5EFD">
              <w:rPr>
                <w:rFonts w:eastAsia="Times New Roman" w:cstheme="minorHAnsi"/>
                <w:sz w:val="24"/>
                <w:szCs w:val="24"/>
                <w:lang w:eastAsia="fr-CA"/>
              </w:rPr>
              <w:t>Bas-Saint-Laurent</w:t>
            </w:r>
          </w:p>
        </w:tc>
        <w:tc>
          <w:tcPr>
            <w:tcW w:w="2000" w:type="dxa"/>
          </w:tcPr>
          <w:p w14:paraId="44AC8105" w14:textId="79508B4E" w:rsidR="004B497A" w:rsidRPr="007B5EFD" w:rsidRDefault="004B497A" w:rsidP="00794A1B">
            <w:pPr>
              <w:jc w:val="both"/>
              <w:rPr>
                <w:rFonts w:eastAsia="Times New Roman" w:cstheme="minorHAnsi"/>
                <w:sz w:val="24"/>
                <w:szCs w:val="24"/>
                <w:lang w:eastAsia="fr-CA"/>
              </w:rPr>
            </w:pPr>
            <w:r w:rsidRPr="007B5EFD">
              <w:rPr>
                <w:rFonts w:eastAsia="Times New Roman" w:cstheme="minorHAnsi"/>
                <w:sz w:val="24"/>
                <w:szCs w:val="24"/>
                <w:lang w:eastAsia="fr-CA"/>
              </w:rPr>
              <w:t xml:space="preserve">          -1 095</w:t>
            </w:r>
          </w:p>
        </w:tc>
        <w:tc>
          <w:tcPr>
            <w:tcW w:w="1984" w:type="dxa"/>
          </w:tcPr>
          <w:p w14:paraId="28DE7828" w14:textId="6BCF53B5" w:rsidR="004B497A" w:rsidRPr="007B5EFD" w:rsidRDefault="004B497A" w:rsidP="00794A1B">
            <w:pPr>
              <w:jc w:val="both"/>
              <w:rPr>
                <w:rFonts w:eastAsia="Times New Roman" w:cstheme="minorHAnsi"/>
                <w:sz w:val="24"/>
                <w:szCs w:val="24"/>
                <w:lang w:eastAsia="fr-CA"/>
              </w:rPr>
            </w:pPr>
            <w:r w:rsidRPr="007B5EFD">
              <w:rPr>
                <w:rFonts w:eastAsia="Times New Roman" w:cstheme="minorHAnsi"/>
                <w:sz w:val="24"/>
                <w:szCs w:val="24"/>
                <w:lang w:eastAsia="fr-CA"/>
              </w:rPr>
              <w:t xml:space="preserve">           -132</w:t>
            </w:r>
          </w:p>
        </w:tc>
      </w:tr>
      <w:tr w:rsidR="004B497A" w:rsidRPr="007B5EFD" w14:paraId="76E6D28D" w14:textId="7D14D9E3" w:rsidTr="009A4CFE">
        <w:trPr>
          <w:trHeight w:val="292"/>
        </w:trPr>
        <w:tc>
          <w:tcPr>
            <w:tcW w:w="3529" w:type="dxa"/>
          </w:tcPr>
          <w:p w14:paraId="16F20499" w14:textId="2B981AD9" w:rsidR="004B497A" w:rsidRPr="007B5EFD" w:rsidRDefault="004B497A" w:rsidP="00794A1B">
            <w:pPr>
              <w:jc w:val="both"/>
              <w:rPr>
                <w:rFonts w:eastAsia="Times New Roman" w:cstheme="minorHAnsi"/>
                <w:sz w:val="24"/>
                <w:szCs w:val="24"/>
                <w:lang w:eastAsia="fr-CA"/>
              </w:rPr>
            </w:pPr>
            <w:r w:rsidRPr="007B5EFD">
              <w:rPr>
                <w:rFonts w:eastAsia="Times New Roman" w:cstheme="minorHAnsi"/>
                <w:sz w:val="24"/>
                <w:szCs w:val="24"/>
                <w:lang w:eastAsia="fr-CA"/>
              </w:rPr>
              <w:t>Saguenay—Lac-Saint-Jean</w:t>
            </w:r>
          </w:p>
        </w:tc>
        <w:tc>
          <w:tcPr>
            <w:tcW w:w="2000" w:type="dxa"/>
          </w:tcPr>
          <w:p w14:paraId="5DA71103" w14:textId="343F932C" w:rsidR="004B497A" w:rsidRPr="007B5EFD" w:rsidRDefault="004B497A" w:rsidP="00794A1B">
            <w:pPr>
              <w:jc w:val="both"/>
              <w:rPr>
                <w:rFonts w:eastAsia="Times New Roman" w:cstheme="minorHAnsi"/>
                <w:sz w:val="24"/>
                <w:szCs w:val="24"/>
                <w:lang w:eastAsia="fr-CA"/>
              </w:rPr>
            </w:pPr>
            <w:r w:rsidRPr="007B5EFD">
              <w:rPr>
                <w:rFonts w:eastAsia="Times New Roman" w:cstheme="minorHAnsi"/>
                <w:sz w:val="24"/>
                <w:szCs w:val="24"/>
                <w:lang w:eastAsia="fr-CA"/>
              </w:rPr>
              <w:t xml:space="preserve">          -2 961</w:t>
            </w:r>
          </w:p>
        </w:tc>
        <w:tc>
          <w:tcPr>
            <w:tcW w:w="1984" w:type="dxa"/>
          </w:tcPr>
          <w:p w14:paraId="6D44791A" w14:textId="45B9A3D8" w:rsidR="004B497A" w:rsidRPr="007B5EFD" w:rsidRDefault="004B497A" w:rsidP="00794A1B">
            <w:pPr>
              <w:jc w:val="both"/>
              <w:rPr>
                <w:rFonts w:eastAsia="Times New Roman" w:cstheme="minorHAnsi"/>
                <w:sz w:val="24"/>
                <w:szCs w:val="24"/>
                <w:lang w:eastAsia="fr-CA"/>
              </w:rPr>
            </w:pPr>
            <w:r w:rsidRPr="007B5EFD">
              <w:rPr>
                <w:rFonts w:eastAsia="Times New Roman" w:cstheme="minorHAnsi"/>
                <w:sz w:val="24"/>
                <w:szCs w:val="24"/>
                <w:lang w:eastAsia="fr-CA"/>
              </w:rPr>
              <w:t xml:space="preserve">           -554</w:t>
            </w:r>
          </w:p>
        </w:tc>
      </w:tr>
      <w:tr w:rsidR="004B497A" w:rsidRPr="007B5EFD" w14:paraId="723D789C" w14:textId="77B0D811" w:rsidTr="009A4CFE">
        <w:trPr>
          <w:trHeight w:val="292"/>
        </w:trPr>
        <w:tc>
          <w:tcPr>
            <w:tcW w:w="3529" w:type="dxa"/>
          </w:tcPr>
          <w:p w14:paraId="10287206" w14:textId="643EDD0D" w:rsidR="004B497A" w:rsidRPr="007B5EFD" w:rsidRDefault="004B497A" w:rsidP="00794A1B">
            <w:pPr>
              <w:jc w:val="both"/>
              <w:rPr>
                <w:rFonts w:eastAsia="Times New Roman" w:cstheme="minorHAnsi"/>
                <w:sz w:val="24"/>
                <w:szCs w:val="24"/>
                <w:lang w:eastAsia="fr-CA"/>
              </w:rPr>
            </w:pPr>
            <w:r w:rsidRPr="007B5EFD">
              <w:rPr>
                <w:rFonts w:eastAsia="Times New Roman" w:cstheme="minorHAnsi"/>
                <w:sz w:val="24"/>
                <w:szCs w:val="24"/>
                <w:lang w:eastAsia="fr-CA"/>
              </w:rPr>
              <w:t>Mauricie</w:t>
            </w:r>
          </w:p>
        </w:tc>
        <w:tc>
          <w:tcPr>
            <w:tcW w:w="2000" w:type="dxa"/>
          </w:tcPr>
          <w:p w14:paraId="7AAAFAF6" w14:textId="3C0AAE9B" w:rsidR="004B497A" w:rsidRPr="007B5EFD" w:rsidRDefault="004B497A" w:rsidP="00794A1B">
            <w:pPr>
              <w:jc w:val="both"/>
              <w:rPr>
                <w:rFonts w:eastAsia="Times New Roman" w:cstheme="minorHAnsi"/>
                <w:sz w:val="24"/>
                <w:szCs w:val="24"/>
                <w:lang w:eastAsia="fr-CA"/>
              </w:rPr>
            </w:pPr>
            <w:r w:rsidRPr="007B5EFD">
              <w:rPr>
                <w:rFonts w:eastAsia="Times New Roman" w:cstheme="minorHAnsi"/>
                <w:sz w:val="24"/>
                <w:szCs w:val="24"/>
                <w:lang w:eastAsia="fr-CA"/>
              </w:rPr>
              <w:t xml:space="preserve">             -203</w:t>
            </w:r>
          </w:p>
        </w:tc>
        <w:tc>
          <w:tcPr>
            <w:tcW w:w="1984" w:type="dxa"/>
          </w:tcPr>
          <w:p w14:paraId="0C6AA4B5" w14:textId="52E5C08C" w:rsidR="004B497A" w:rsidRPr="007B5EFD" w:rsidRDefault="004B497A" w:rsidP="00794A1B">
            <w:pPr>
              <w:jc w:val="both"/>
              <w:rPr>
                <w:rFonts w:eastAsia="Times New Roman" w:cstheme="minorHAnsi"/>
                <w:sz w:val="24"/>
                <w:szCs w:val="24"/>
                <w:lang w:eastAsia="fr-CA"/>
              </w:rPr>
            </w:pPr>
            <w:r w:rsidRPr="007B5EFD">
              <w:rPr>
                <w:rFonts w:eastAsia="Times New Roman" w:cstheme="minorHAnsi"/>
                <w:sz w:val="24"/>
                <w:szCs w:val="24"/>
                <w:lang w:eastAsia="fr-CA"/>
              </w:rPr>
              <w:t xml:space="preserve">           +868</w:t>
            </w:r>
          </w:p>
        </w:tc>
      </w:tr>
      <w:tr w:rsidR="004B497A" w:rsidRPr="007B5EFD" w14:paraId="042E5468" w14:textId="6FD7EF30" w:rsidTr="009A4CFE">
        <w:trPr>
          <w:trHeight w:val="292"/>
        </w:trPr>
        <w:tc>
          <w:tcPr>
            <w:tcW w:w="3529" w:type="dxa"/>
          </w:tcPr>
          <w:p w14:paraId="3B48F61A" w14:textId="2E6D287F" w:rsidR="004B497A" w:rsidRPr="007B5EFD" w:rsidRDefault="004B497A" w:rsidP="00794A1B">
            <w:pPr>
              <w:jc w:val="both"/>
              <w:rPr>
                <w:rFonts w:eastAsia="Times New Roman" w:cstheme="minorHAnsi"/>
                <w:sz w:val="24"/>
                <w:szCs w:val="24"/>
                <w:lang w:eastAsia="fr-CA"/>
              </w:rPr>
            </w:pPr>
            <w:r w:rsidRPr="007B5EFD">
              <w:rPr>
                <w:rFonts w:eastAsia="Times New Roman" w:cstheme="minorHAnsi"/>
                <w:sz w:val="24"/>
                <w:szCs w:val="24"/>
                <w:lang w:eastAsia="fr-CA"/>
              </w:rPr>
              <w:t>Abitibi-Témiscamingue</w:t>
            </w:r>
          </w:p>
        </w:tc>
        <w:tc>
          <w:tcPr>
            <w:tcW w:w="2000" w:type="dxa"/>
          </w:tcPr>
          <w:p w14:paraId="79161FFB" w14:textId="583E0742" w:rsidR="004B497A" w:rsidRPr="007B5EFD" w:rsidRDefault="004B497A" w:rsidP="00794A1B">
            <w:pPr>
              <w:jc w:val="both"/>
              <w:rPr>
                <w:rFonts w:eastAsia="Times New Roman" w:cstheme="minorHAnsi"/>
                <w:sz w:val="24"/>
                <w:szCs w:val="24"/>
                <w:lang w:eastAsia="fr-CA"/>
              </w:rPr>
            </w:pPr>
            <w:r w:rsidRPr="007B5EFD">
              <w:rPr>
                <w:rFonts w:eastAsia="Times New Roman" w:cstheme="minorHAnsi"/>
                <w:sz w:val="24"/>
                <w:szCs w:val="24"/>
                <w:lang w:eastAsia="fr-CA"/>
              </w:rPr>
              <w:t xml:space="preserve">          -2 005</w:t>
            </w:r>
          </w:p>
        </w:tc>
        <w:tc>
          <w:tcPr>
            <w:tcW w:w="1984" w:type="dxa"/>
          </w:tcPr>
          <w:p w14:paraId="60D5C689" w14:textId="13ED09CF" w:rsidR="004B497A" w:rsidRPr="007B5EFD" w:rsidRDefault="004B497A" w:rsidP="00794A1B">
            <w:pPr>
              <w:jc w:val="both"/>
              <w:rPr>
                <w:rFonts w:eastAsia="Times New Roman" w:cstheme="minorHAnsi"/>
                <w:sz w:val="24"/>
                <w:szCs w:val="24"/>
                <w:lang w:eastAsia="fr-CA"/>
              </w:rPr>
            </w:pPr>
            <w:r w:rsidRPr="007B5EFD">
              <w:rPr>
                <w:rFonts w:eastAsia="Times New Roman" w:cstheme="minorHAnsi"/>
                <w:sz w:val="24"/>
                <w:szCs w:val="24"/>
                <w:lang w:eastAsia="fr-CA"/>
              </w:rPr>
              <w:t xml:space="preserve">           -406</w:t>
            </w:r>
          </w:p>
        </w:tc>
      </w:tr>
      <w:tr w:rsidR="004B497A" w:rsidRPr="007B5EFD" w14:paraId="35E0F70F" w14:textId="7AA29D38" w:rsidTr="009A4CFE">
        <w:trPr>
          <w:trHeight w:val="306"/>
        </w:trPr>
        <w:tc>
          <w:tcPr>
            <w:tcW w:w="3529" w:type="dxa"/>
          </w:tcPr>
          <w:p w14:paraId="0068DD12" w14:textId="37ADF233" w:rsidR="004B497A" w:rsidRPr="007B5EFD" w:rsidRDefault="004B497A" w:rsidP="00794A1B">
            <w:pPr>
              <w:jc w:val="both"/>
              <w:rPr>
                <w:rFonts w:eastAsia="Times New Roman" w:cstheme="minorHAnsi"/>
                <w:sz w:val="24"/>
                <w:szCs w:val="24"/>
                <w:lang w:eastAsia="fr-CA"/>
              </w:rPr>
            </w:pPr>
            <w:r w:rsidRPr="007B5EFD">
              <w:rPr>
                <w:rFonts w:eastAsia="Times New Roman" w:cstheme="minorHAnsi"/>
                <w:sz w:val="24"/>
                <w:szCs w:val="24"/>
                <w:lang w:eastAsia="fr-CA"/>
              </w:rPr>
              <w:t>Côte-Nord</w:t>
            </w:r>
          </w:p>
        </w:tc>
        <w:tc>
          <w:tcPr>
            <w:tcW w:w="2000" w:type="dxa"/>
          </w:tcPr>
          <w:p w14:paraId="51F5B35C" w14:textId="677C8295" w:rsidR="004B497A" w:rsidRPr="007B5EFD" w:rsidRDefault="004B497A" w:rsidP="00794A1B">
            <w:pPr>
              <w:jc w:val="both"/>
              <w:rPr>
                <w:rFonts w:eastAsia="Times New Roman" w:cstheme="minorHAnsi"/>
                <w:sz w:val="24"/>
                <w:szCs w:val="24"/>
                <w:lang w:eastAsia="fr-CA"/>
              </w:rPr>
            </w:pPr>
            <w:r w:rsidRPr="007B5EFD">
              <w:rPr>
                <w:rFonts w:eastAsia="Times New Roman" w:cstheme="minorHAnsi"/>
                <w:sz w:val="24"/>
                <w:szCs w:val="24"/>
                <w:lang w:eastAsia="fr-CA"/>
              </w:rPr>
              <w:t xml:space="preserve">          -1 868</w:t>
            </w:r>
          </w:p>
        </w:tc>
        <w:tc>
          <w:tcPr>
            <w:tcW w:w="1984" w:type="dxa"/>
          </w:tcPr>
          <w:p w14:paraId="59EEB6A0" w14:textId="3C0DD0C6" w:rsidR="004B497A" w:rsidRPr="007B5EFD" w:rsidRDefault="004B497A" w:rsidP="00794A1B">
            <w:pPr>
              <w:jc w:val="both"/>
              <w:rPr>
                <w:rFonts w:eastAsia="Times New Roman" w:cstheme="minorHAnsi"/>
                <w:sz w:val="24"/>
                <w:szCs w:val="24"/>
                <w:lang w:eastAsia="fr-CA"/>
              </w:rPr>
            </w:pPr>
            <w:r w:rsidRPr="007B5EFD">
              <w:rPr>
                <w:rFonts w:eastAsia="Times New Roman" w:cstheme="minorHAnsi"/>
                <w:sz w:val="24"/>
                <w:szCs w:val="24"/>
                <w:lang w:eastAsia="fr-CA"/>
              </w:rPr>
              <w:t xml:space="preserve">           -905</w:t>
            </w:r>
          </w:p>
        </w:tc>
      </w:tr>
      <w:tr w:rsidR="004B497A" w:rsidRPr="007B5EFD" w14:paraId="436D6F71" w14:textId="19F37E92" w:rsidTr="009A4CFE">
        <w:trPr>
          <w:trHeight w:val="292"/>
        </w:trPr>
        <w:tc>
          <w:tcPr>
            <w:tcW w:w="3529" w:type="dxa"/>
          </w:tcPr>
          <w:p w14:paraId="1272D99C" w14:textId="6ABC125E" w:rsidR="004B497A" w:rsidRPr="007B5EFD" w:rsidRDefault="004B497A" w:rsidP="00794A1B">
            <w:pPr>
              <w:jc w:val="both"/>
              <w:rPr>
                <w:rFonts w:eastAsia="Times New Roman" w:cstheme="minorHAnsi"/>
                <w:sz w:val="24"/>
                <w:szCs w:val="24"/>
                <w:lang w:eastAsia="fr-CA"/>
              </w:rPr>
            </w:pPr>
            <w:r w:rsidRPr="007B5EFD">
              <w:rPr>
                <w:rFonts w:eastAsia="Times New Roman" w:cstheme="minorHAnsi"/>
                <w:sz w:val="24"/>
                <w:szCs w:val="24"/>
                <w:lang w:eastAsia="fr-CA"/>
              </w:rPr>
              <w:t>Gaspésie—Îles-de-la Madeleine</w:t>
            </w:r>
          </w:p>
        </w:tc>
        <w:tc>
          <w:tcPr>
            <w:tcW w:w="2000" w:type="dxa"/>
          </w:tcPr>
          <w:p w14:paraId="5B13035F" w14:textId="7B971CF4" w:rsidR="004B497A" w:rsidRPr="007B5EFD" w:rsidRDefault="004B497A" w:rsidP="00794A1B">
            <w:pPr>
              <w:jc w:val="both"/>
              <w:rPr>
                <w:rFonts w:eastAsia="Times New Roman" w:cstheme="minorHAnsi"/>
                <w:sz w:val="24"/>
                <w:szCs w:val="24"/>
                <w:lang w:eastAsia="fr-CA"/>
              </w:rPr>
            </w:pPr>
            <w:r w:rsidRPr="007B5EFD">
              <w:rPr>
                <w:rFonts w:eastAsia="Times New Roman" w:cstheme="minorHAnsi"/>
                <w:sz w:val="24"/>
                <w:szCs w:val="24"/>
                <w:lang w:eastAsia="fr-CA"/>
              </w:rPr>
              <w:t xml:space="preserve">             -805</w:t>
            </w:r>
          </w:p>
        </w:tc>
        <w:tc>
          <w:tcPr>
            <w:tcW w:w="1984" w:type="dxa"/>
          </w:tcPr>
          <w:p w14:paraId="03753B37" w14:textId="4322F189" w:rsidR="004B497A" w:rsidRPr="007B5EFD" w:rsidRDefault="004B497A" w:rsidP="00794A1B">
            <w:pPr>
              <w:jc w:val="both"/>
              <w:rPr>
                <w:rFonts w:eastAsia="Times New Roman" w:cstheme="minorHAnsi"/>
                <w:sz w:val="24"/>
                <w:szCs w:val="24"/>
                <w:lang w:eastAsia="fr-CA"/>
              </w:rPr>
            </w:pPr>
            <w:r w:rsidRPr="007B5EFD">
              <w:rPr>
                <w:rFonts w:eastAsia="Times New Roman" w:cstheme="minorHAnsi"/>
                <w:sz w:val="24"/>
                <w:szCs w:val="24"/>
                <w:lang w:eastAsia="fr-CA"/>
              </w:rPr>
              <w:t xml:space="preserve">           +238</w:t>
            </w:r>
          </w:p>
        </w:tc>
      </w:tr>
      <w:tr w:rsidR="004B497A" w:rsidRPr="007B5EFD" w14:paraId="1D376305" w14:textId="4168CE45" w:rsidTr="009A4CFE">
        <w:trPr>
          <w:trHeight w:val="292"/>
        </w:trPr>
        <w:tc>
          <w:tcPr>
            <w:tcW w:w="3529" w:type="dxa"/>
          </w:tcPr>
          <w:p w14:paraId="5859204F" w14:textId="0012815C" w:rsidR="004B497A" w:rsidRPr="007B5EFD" w:rsidRDefault="004B497A" w:rsidP="00794A1B">
            <w:pPr>
              <w:jc w:val="both"/>
              <w:rPr>
                <w:rFonts w:eastAsia="Times New Roman" w:cstheme="minorHAnsi"/>
                <w:sz w:val="24"/>
                <w:szCs w:val="24"/>
                <w:lang w:eastAsia="fr-CA"/>
              </w:rPr>
            </w:pPr>
            <w:r w:rsidRPr="007B5EFD">
              <w:rPr>
                <w:rFonts w:eastAsia="Times New Roman" w:cstheme="minorHAnsi"/>
                <w:sz w:val="24"/>
                <w:szCs w:val="24"/>
                <w:lang w:eastAsia="fr-CA"/>
              </w:rPr>
              <w:t>Chaudières-Appalaches</w:t>
            </w:r>
          </w:p>
        </w:tc>
        <w:tc>
          <w:tcPr>
            <w:tcW w:w="2000" w:type="dxa"/>
          </w:tcPr>
          <w:p w14:paraId="6E3963DE" w14:textId="2D8CEFB0" w:rsidR="004B497A" w:rsidRPr="007B5EFD" w:rsidRDefault="004B497A" w:rsidP="00794A1B">
            <w:pPr>
              <w:jc w:val="both"/>
              <w:rPr>
                <w:rFonts w:eastAsia="Times New Roman" w:cstheme="minorHAnsi"/>
                <w:sz w:val="24"/>
                <w:szCs w:val="24"/>
                <w:lang w:eastAsia="fr-CA"/>
              </w:rPr>
            </w:pPr>
            <w:r w:rsidRPr="007B5EFD">
              <w:rPr>
                <w:rFonts w:eastAsia="Times New Roman" w:cstheme="minorHAnsi"/>
                <w:sz w:val="24"/>
                <w:szCs w:val="24"/>
                <w:lang w:eastAsia="fr-CA"/>
              </w:rPr>
              <w:t xml:space="preserve">            </w:t>
            </w:r>
            <w:r w:rsidR="00242140">
              <w:rPr>
                <w:rFonts w:eastAsia="Times New Roman" w:cstheme="minorHAnsi"/>
                <w:sz w:val="24"/>
                <w:szCs w:val="24"/>
                <w:lang w:eastAsia="fr-CA"/>
              </w:rPr>
              <w:t>+</w:t>
            </w:r>
            <w:r w:rsidRPr="007B5EFD">
              <w:rPr>
                <w:rFonts w:eastAsia="Times New Roman" w:cstheme="minorHAnsi"/>
                <w:sz w:val="24"/>
                <w:szCs w:val="24"/>
                <w:lang w:eastAsia="fr-CA"/>
              </w:rPr>
              <w:t>387</w:t>
            </w:r>
          </w:p>
        </w:tc>
        <w:tc>
          <w:tcPr>
            <w:tcW w:w="1984" w:type="dxa"/>
          </w:tcPr>
          <w:p w14:paraId="2AB92E71" w14:textId="0E04D05A" w:rsidR="004B497A" w:rsidRPr="007B5EFD" w:rsidRDefault="004B497A" w:rsidP="00794A1B">
            <w:pPr>
              <w:jc w:val="both"/>
              <w:rPr>
                <w:rFonts w:eastAsia="Times New Roman" w:cstheme="minorHAnsi"/>
                <w:sz w:val="24"/>
                <w:szCs w:val="24"/>
                <w:lang w:eastAsia="fr-CA"/>
              </w:rPr>
            </w:pPr>
            <w:r w:rsidRPr="007B5EFD">
              <w:rPr>
                <w:rFonts w:eastAsia="Times New Roman" w:cstheme="minorHAnsi"/>
                <w:sz w:val="24"/>
                <w:szCs w:val="24"/>
                <w:lang w:eastAsia="fr-CA"/>
              </w:rPr>
              <w:t xml:space="preserve">           +974</w:t>
            </w:r>
          </w:p>
        </w:tc>
      </w:tr>
      <w:tr w:rsidR="004B497A" w:rsidRPr="007B5EFD" w14:paraId="2160EB89" w14:textId="4ED43E35" w:rsidTr="009A4CFE">
        <w:trPr>
          <w:trHeight w:val="292"/>
        </w:trPr>
        <w:tc>
          <w:tcPr>
            <w:tcW w:w="3529" w:type="dxa"/>
          </w:tcPr>
          <w:p w14:paraId="78DBB5A5" w14:textId="09378155" w:rsidR="004B497A" w:rsidRPr="007B5EFD" w:rsidRDefault="004B497A" w:rsidP="00794A1B">
            <w:pPr>
              <w:jc w:val="both"/>
              <w:rPr>
                <w:rFonts w:eastAsia="Times New Roman" w:cstheme="minorHAnsi"/>
                <w:b/>
                <w:bCs/>
                <w:sz w:val="24"/>
                <w:szCs w:val="24"/>
                <w:lang w:eastAsia="fr-CA"/>
              </w:rPr>
            </w:pPr>
            <w:r w:rsidRPr="007B5EFD">
              <w:rPr>
                <w:rFonts w:eastAsia="Times New Roman" w:cstheme="minorHAnsi"/>
                <w:sz w:val="24"/>
                <w:szCs w:val="24"/>
                <w:lang w:eastAsia="fr-CA"/>
              </w:rPr>
              <w:t xml:space="preserve">                          </w:t>
            </w:r>
            <w:r w:rsidRPr="007B5EFD">
              <w:rPr>
                <w:rFonts w:eastAsia="Times New Roman" w:cstheme="minorHAnsi"/>
                <w:b/>
                <w:bCs/>
                <w:sz w:val="24"/>
                <w:szCs w:val="24"/>
                <w:lang w:eastAsia="fr-CA"/>
              </w:rPr>
              <w:t>Total</w:t>
            </w:r>
          </w:p>
        </w:tc>
        <w:tc>
          <w:tcPr>
            <w:tcW w:w="2000" w:type="dxa"/>
          </w:tcPr>
          <w:p w14:paraId="1FD466C4" w14:textId="18E39628" w:rsidR="004B497A" w:rsidRPr="007B5EFD" w:rsidRDefault="004B497A" w:rsidP="00794A1B">
            <w:pPr>
              <w:jc w:val="both"/>
              <w:rPr>
                <w:rFonts w:eastAsia="Times New Roman" w:cstheme="minorHAnsi"/>
                <w:b/>
                <w:bCs/>
                <w:sz w:val="24"/>
                <w:szCs w:val="24"/>
                <w:lang w:eastAsia="fr-CA"/>
              </w:rPr>
            </w:pPr>
            <w:r w:rsidRPr="007B5EFD">
              <w:rPr>
                <w:rFonts w:eastAsia="Times New Roman" w:cstheme="minorHAnsi"/>
                <w:sz w:val="24"/>
                <w:szCs w:val="24"/>
                <w:lang w:eastAsia="fr-CA"/>
              </w:rPr>
              <w:t xml:space="preserve">          </w:t>
            </w:r>
            <w:r w:rsidRPr="007B5EFD">
              <w:rPr>
                <w:rFonts w:eastAsia="Times New Roman" w:cstheme="minorHAnsi"/>
                <w:b/>
                <w:bCs/>
                <w:sz w:val="24"/>
                <w:szCs w:val="24"/>
                <w:lang w:eastAsia="fr-CA"/>
              </w:rPr>
              <w:t>-8 519</w:t>
            </w:r>
          </w:p>
        </w:tc>
        <w:tc>
          <w:tcPr>
            <w:tcW w:w="1984" w:type="dxa"/>
          </w:tcPr>
          <w:p w14:paraId="32772F5E" w14:textId="15F72AB2" w:rsidR="004B497A" w:rsidRPr="007B5EFD" w:rsidRDefault="004B497A" w:rsidP="00794A1B">
            <w:pPr>
              <w:jc w:val="both"/>
              <w:rPr>
                <w:rFonts w:eastAsia="Times New Roman" w:cstheme="minorHAnsi"/>
                <w:b/>
                <w:bCs/>
                <w:sz w:val="24"/>
                <w:szCs w:val="24"/>
                <w:lang w:eastAsia="fr-CA"/>
              </w:rPr>
            </w:pPr>
            <w:r w:rsidRPr="007B5EFD">
              <w:rPr>
                <w:rFonts w:eastAsia="Times New Roman" w:cstheme="minorHAnsi"/>
                <w:sz w:val="24"/>
                <w:szCs w:val="24"/>
                <w:lang w:eastAsia="fr-CA"/>
              </w:rPr>
              <w:t xml:space="preserve">              </w:t>
            </w:r>
            <w:r w:rsidRPr="007B5EFD">
              <w:rPr>
                <w:rFonts w:eastAsia="Times New Roman" w:cstheme="minorHAnsi"/>
                <w:b/>
                <w:bCs/>
                <w:sz w:val="24"/>
                <w:szCs w:val="24"/>
                <w:lang w:eastAsia="fr-CA"/>
              </w:rPr>
              <w:t>+83</w:t>
            </w:r>
          </w:p>
        </w:tc>
      </w:tr>
    </w:tbl>
    <w:p w14:paraId="7830DA6C" w14:textId="783BDAB8" w:rsidR="009A4CFE" w:rsidRPr="00BC6841" w:rsidRDefault="009A4CFE" w:rsidP="00794A1B">
      <w:pPr>
        <w:pStyle w:val="Titre1"/>
        <w:spacing w:before="0" w:line="240" w:lineRule="auto"/>
        <w:rPr>
          <w:rFonts w:asciiTheme="minorHAnsi" w:eastAsia="Times New Roman" w:hAnsiTheme="minorHAnsi" w:cstheme="minorHAnsi"/>
          <w:b/>
          <w:bCs/>
          <w:color w:val="auto"/>
          <w:kern w:val="36"/>
          <w:sz w:val="20"/>
          <w:szCs w:val="20"/>
          <w:lang w:eastAsia="fr-CA"/>
        </w:rPr>
      </w:pPr>
      <w:r w:rsidRPr="007B5EFD">
        <w:rPr>
          <w:rFonts w:asciiTheme="minorHAnsi" w:eastAsia="Times New Roman" w:hAnsiTheme="minorHAnsi" w:cstheme="minorHAnsi"/>
          <w:color w:val="auto"/>
          <w:sz w:val="24"/>
          <w:szCs w:val="24"/>
          <w:lang w:eastAsia="fr-CA"/>
        </w:rPr>
        <w:t xml:space="preserve">          </w:t>
      </w:r>
      <w:r w:rsidRPr="00BC6841">
        <w:rPr>
          <w:rFonts w:asciiTheme="minorHAnsi" w:eastAsia="Times New Roman" w:hAnsiTheme="minorHAnsi" w:cstheme="minorHAnsi"/>
          <w:color w:val="auto"/>
          <w:sz w:val="20"/>
          <w:szCs w:val="20"/>
          <w:lang w:eastAsia="fr-CA"/>
        </w:rPr>
        <w:t xml:space="preserve">Sources : Institut statistique Québec. </w:t>
      </w:r>
      <w:r w:rsidRPr="00BC6841">
        <w:rPr>
          <w:rFonts w:asciiTheme="minorHAnsi" w:eastAsia="Times New Roman" w:hAnsiTheme="minorHAnsi" w:cstheme="minorHAnsi"/>
          <w:i/>
          <w:iCs/>
          <w:color w:val="auto"/>
          <w:kern w:val="36"/>
          <w:sz w:val="20"/>
          <w:szCs w:val="20"/>
          <w:lang w:eastAsia="fr-CA"/>
        </w:rPr>
        <w:t>Entrants, sortants, soldes migratoires interrégionaux, 2020.</w:t>
      </w:r>
    </w:p>
    <w:p w14:paraId="29A5BA29" w14:textId="0538541A" w:rsidR="00632EDA" w:rsidRPr="00242140" w:rsidRDefault="00632EDA" w:rsidP="00794A1B">
      <w:pPr>
        <w:spacing w:after="0" w:line="240" w:lineRule="auto"/>
        <w:jc w:val="both"/>
        <w:rPr>
          <w:rFonts w:eastAsia="Times New Roman" w:cstheme="minorHAnsi"/>
          <w:sz w:val="16"/>
          <w:szCs w:val="16"/>
          <w:lang w:eastAsia="fr-CA"/>
        </w:rPr>
      </w:pPr>
    </w:p>
    <w:p w14:paraId="1379CD66" w14:textId="6ECAEFFD" w:rsidR="00632EDA" w:rsidRPr="007B5EFD" w:rsidRDefault="00632EDA" w:rsidP="00794A1B">
      <w:pPr>
        <w:spacing w:after="0" w:line="240" w:lineRule="auto"/>
        <w:jc w:val="both"/>
        <w:rPr>
          <w:rFonts w:eastAsia="Times New Roman" w:cstheme="minorHAnsi"/>
          <w:sz w:val="24"/>
          <w:szCs w:val="24"/>
          <w:lang w:eastAsia="fr-CA"/>
        </w:rPr>
      </w:pPr>
      <w:r w:rsidRPr="007B5EFD">
        <w:rPr>
          <w:rFonts w:eastAsia="Times New Roman" w:cstheme="minorHAnsi"/>
          <w:sz w:val="24"/>
          <w:szCs w:val="24"/>
          <w:lang w:eastAsia="fr-CA"/>
        </w:rPr>
        <w:t>Longtemps terre d’exode, les régions deviennent des terres d’accueil, des terres d’avenir qui devrai</w:t>
      </w:r>
      <w:r w:rsidR="001D73D9" w:rsidRPr="007B5EFD">
        <w:rPr>
          <w:rFonts w:eastAsia="Times New Roman" w:cstheme="minorHAnsi"/>
          <w:sz w:val="24"/>
          <w:szCs w:val="24"/>
          <w:lang w:eastAsia="fr-CA"/>
        </w:rPr>
        <w:t>en</w:t>
      </w:r>
      <w:r w:rsidRPr="007B5EFD">
        <w:rPr>
          <w:rFonts w:eastAsia="Times New Roman" w:cstheme="minorHAnsi"/>
          <w:sz w:val="24"/>
          <w:szCs w:val="24"/>
          <w:lang w:eastAsia="fr-CA"/>
        </w:rPr>
        <w:t>t recevoir une attention plus grande de la part des décideurs publics.</w:t>
      </w:r>
      <w:r w:rsidR="001D73D9" w:rsidRPr="007B5EFD">
        <w:rPr>
          <w:rFonts w:eastAsia="Times New Roman" w:cstheme="minorHAnsi"/>
          <w:sz w:val="24"/>
          <w:szCs w:val="24"/>
          <w:lang w:eastAsia="fr-CA"/>
        </w:rPr>
        <w:t xml:space="preserve"> </w:t>
      </w:r>
    </w:p>
    <w:p w14:paraId="5DABB2DB" w14:textId="77777777" w:rsidR="00C72FE2" w:rsidRPr="00242140" w:rsidRDefault="00C72FE2" w:rsidP="00794A1B">
      <w:pPr>
        <w:spacing w:after="0" w:line="240" w:lineRule="auto"/>
        <w:jc w:val="both"/>
        <w:rPr>
          <w:rFonts w:eastAsia="Times New Roman" w:cstheme="minorHAnsi"/>
          <w:sz w:val="16"/>
          <w:szCs w:val="16"/>
          <w:lang w:eastAsia="fr-CA"/>
        </w:rPr>
      </w:pPr>
    </w:p>
    <w:p w14:paraId="24FB790F" w14:textId="11BAE4FA" w:rsidR="00766D14" w:rsidRDefault="00966277" w:rsidP="00794A1B">
      <w:pPr>
        <w:spacing w:line="240" w:lineRule="auto"/>
        <w:jc w:val="both"/>
        <w:rPr>
          <w:rFonts w:cstheme="minorHAnsi"/>
          <w:sz w:val="24"/>
          <w:szCs w:val="24"/>
        </w:rPr>
      </w:pPr>
      <w:r w:rsidRPr="007B5EFD">
        <w:rPr>
          <w:rFonts w:cstheme="minorHAnsi"/>
          <w:sz w:val="24"/>
          <w:szCs w:val="24"/>
        </w:rPr>
        <w:t xml:space="preserve">Les bilans migratoires ne compensent pas encore les déficits de la croissance naturelle mais ils sont porteurs d’un élan qui permet l’optimisme. Et les cohortes de jeunes ménages qui font le choix de s’établir en région auront </w:t>
      </w:r>
      <w:r w:rsidR="001D73D9" w:rsidRPr="007B5EFD">
        <w:rPr>
          <w:rFonts w:cstheme="minorHAnsi"/>
          <w:sz w:val="24"/>
          <w:szCs w:val="24"/>
        </w:rPr>
        <w:t xml:space="preserve">demain </w:t>
      </w:r>
      <w:r w:rsidRPr="007B5EFD">
        <w:rPr>
          <w:rFonts w:cstheme="minorHAnsi"/>
          <w:sz w:val="24"/>
          <w:szCs w:val="24"/>
        </w:rPr>
        <w:t>une participation significative à la croissance naturelle.</w:t>
      </w:r>
      <w:r w:rsidR="00E85A31" w:rsidRPr="007B5EFD">
        <w:rPr>
          <w:rFonts w:cstheme="minorHAnsi"/>
          <w:sz w:val="24"/>
          <w:szCs w:val="24"/>
        </w:rPr>
        <w:t xml:space="preserve"> Il faut voir les initiatives et expérimentations actuellement en cours dans les régions pour se convaincre des nouveaux dynamismes qui émergent un peu partout.</w:t>
      </w:r>
    </w:p>
    <w:p w14:paraId="3C611B2C" w14:textId="77777777" w:rsidR="0000619B" w:rsidRDefault="0000619B" w:rsidP="0000619B">
      <w:pPr>
        <w:spacing w:after="0"/>
        <w:jc w:val="both"/>
        <w:rPr>
          <w:rFonts w:eastAsia="Times New Roman" w:cstheme="minorHAnsi"/>
          <w:sz w:val="24"/>
          <w:szCs w:val="24"/>
          <w:lang w:eastAsia="fr-CA"/>
        </w:rPr>
      </w:pPr>
      <w:r>
        <w:rPr>
          <w:rFonts w:cstheme="minorHAnsi"/>
          <w:sz w:val="24"/>
          <w:szCs w:val="24"/>
        </w:rPr>
        <w:t xml:space="preserve">P.S. : </w:t>
      </w:r>
      <w:r w:rsidRPr="0000619B">
        <w:rPr>
          <w:rFonts w:eastAsia="Times New Roman" w:cstheme="minorHAnsi"/>
          <w:sz w:val="24"/>
          <w:szCs w:val="24"/>
          <w:lang w:eastAsia="fr-CA"/>
        </w:rPr>
        <w:t>Mon analyse repose sur deux sources:</w:t>
      </w:r>
    </w:p>
    <w:p w14:paraId="1E48B455" w14:textId="2D5F4EDC" w:rsidR="0000619B" w:rsidRDefault="0000619B" w:rsidP="0000619B">
      <w:pPr>
        <w:spacing w:after="0"/>
        <w:jc w:val="both"/>
        <w:rPr>
          <w:rFonts w:eastAsia="Times New Roman" w:cstheme="minorHAnsi"/>
          <w:sz w:val="24"/>
          <w:szCs w:val="24"/>
          <w:lang w:eastAsia="fr-CA"/>
        </w:rPr>
      </w:pPr>
      <w:r>
        <w:rPr>
          <w:rFonts w:eastAsia="Times New Roman" w:cstheme="minorHAnsi"/>
          <w:sz w:val="24"/>
          <w:szCs w:val="24"/>
          <w:lang w:eastAsia="fr-CA"/>
        </w:rPr>
        <w:t xml:space="preserve"> </w:t>
      </w:r>
      <w:hyperlink r:id="rId5" w:history="1">
        <w:r w:rsidRPr="0014581E">
          <w:rPr>
            <w:rStyle w:val="Lienhypertexte"/>
            <w:rFonts w:eastAsia="Times New Roman" w:cstheme="minorHAnsi"/>
            <w:sz w:val="24"/>
            <w:szCs w:val="24"/>
            <w:lang w:eastAsia="fr-CA"/>
          </w:rPr>
          <w:t>https://stat.gouv.qc.ca/statistiques/population-demographie/migration/internes/migration-interreg-mrc-synthese.html#tri_annee=68&amp;tri_tertr=00</w:t>
        </w:r>
      </w:hyperlink>
      <w:r w:rsidRPr="0000619B">
        <w:rPr>
          <w:rFonts w:eastAsia="Times New Roman" w:cstheme="minorHAnsi"/>
          <w:sz w:val="24"/>
          <w:szCs w:val="24"/>
          <w:lang w:eastAsia="fr-CA"/>
        </w:rPr>
        <w:t xml:space="preserve"> </w:t>
      </w:r>
    </w:p>
    <w:p w14:paraId="72EC2BFF" w14:textId="77777777" w:rsidR="0000619B" w:rsidRDefault="0000619B" w:rsidP="0000619B">
      <w:pPr>
        <w:jc w:val="both"/>
        <w:rPr>
          <w:rFonts w:eastAsia="Times New Roman" w:cstheme="minorHAnsi"/>
          <w:sz w:val="24"/>
          <w:szCs w:val="24"/>
          <w:lang w:eastAsia="fr-CA"/>
        </w:rPr>
      </w:pPr>
      <w:r w:rsidRPr="0000619B">
        <w:rPr>
          <w:rFonts w:eastAsia="Times New Roman" w:cstheme="minorHAnsi"/>
          <w:sz w:val="24"/>
          <w:szCs w:val="24"/>
          <w:lang w:eastAsia="fr-CA"/>
        </w:rPr>
        <w:t>E</w:t>
      </w:r>
      <w:r w:rsidRPr="0000619B">
        <w:rPr>
          <w:rFonts w:eastAsia="Times New Roman" w:cstheme="minorHAnsi"/>
          <w:sz w:val="24"/>
          <w:szCs w:val="24"/>
          <w:lang w:eastAsia="fr-CA"/>
        </w:rPr>
        <w:t>t</w:t>
      </w:r>
      <w:r>
        <w:rPr>
          <w:rFonts w:eastAsia="Times New Roman" w:cstheme="minorHAnsi"/>
          <w:sz w:val="24"/>
          <w:szCs w:val="24"/>
          <w:lang w:eastAsia="fr-CA"/>
        </w:rPr>
        <w:t> :</w:t>
      </w:r>
      <w:r w:rsidRPr="0000619B">
        <w:rPr>
          <w:rFonts w:eastAsia="Times New Roman" w:cstheme="minorHAnsi"/>
          <w:sz w:val="24"/>
          <w:szCs w:val="24"/>
          <w:lang w:eastAsia="fr-CA"/>
        </w:rPr>
        <w:t xml:space="preserve"> </w:t>
      </w:r>
      <w:hyperlink r:id="rId6" w:tgtFrame="_blank" w:tooltip="https://www.stat.gouv.qc.ca/statistiques/conditions-vie-societe/bulletins/sociodemo-vol24-no2.pdf" w:history="1">
        <w:r w:rsidRPr="0000619B">
          <w:rPr>
            <w:rFonts w:eastAsia="Times New Roman" w:cstheme="minorHAnsi"/>
            <w:color w:val="0000FF"/>
            <w:sz w:val="24"/>
            <w:szCs w:val="24"/>
            <w:u w:val="single"/>
            <w:lang w:eastAsia="fr-CA"/>
          </w:rPr>
          <w:t>https://stat.gouv.qc.ca/statistiques/conditions-vie-societe/bulletins/sociodemo-vol24-no2.pdf</w:t>
        </w:r>
      </w:hyperlink>
      <w:r w:rsidRPr="0000619B">
        <w:rPr>
          <w:rFonts w:eastAsia="Times New Roman" w:cstheme="minorHAnsi"/>
          <w:sz w:val="24"/>
          <w:szCs w:val="24"/>
          <w:lang w:eastAsia="fr-CA"/>
        </w:rPr>
        <w:t xml:space="preserve"> </w:t>
      </w:r>
    </w:p>
    <w:p w14:paraId="38593EE0" w14:textId="3123A66D" w:rsidR="000024DD" w:rsidRPr="0000619B" w:rsidRDefault="0000619B" w:rsidP="000024DD">
      <w:pPr>
        <w:spacing w:after="0"/>
        <w:jc w:val="both"/>
        <w:rPr>
          <w:rFonts w:eastAsia="Times New Roman" w:cstheme="minorHAnsi"/>
          <w:sz w:val="24"/>
          <w:szCs w:val="24"/>
          <w:lang w:eastAsia="fr-CA"/>
        </w:rPr>
      </w:pPr>
      <w:r w:rsidRPr="0000619B">
        <w:rPr>
          <w:rFonts w:eastAsia="Times New Roman" w:cstheme="minorHAnsi"/>
          <w:sz w:val="24"/>
          <w:szCs w:val="24"/>
          <w:lang w:eastAsia="fr-CA"/>
        </w:rPr>
        <w:t>Les constats sont fondés sur les évolutions constatées au cours de la période 2001-2018</w:t>
      </w:r>
      <w:r>
        <w:rPr>
          <w:rFonts w:eastAsia="Times New Roman" w:cstheme="minorHAnsi"/>
          <w:sz w:val="24"/>
          <w:szCs w:val="24"/>
          <w:lang w:eastAsia="fr-CA"/>
        </w:rPr>
        <w:t>.</w:t>
      </w:r>
      <w:bookmarkEnd w:id="0"/>
    </w:p>
    <w:sectPr w:rsidR="000024DD" w:rsidRPr="0000619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93A26"/>
    <w:multiLevelType w:val="hybridMultilevel"/>
    <w:tmpl w:val="96ACD924"/>
    <w:lvl w:ilvl="0" w:tplc="91B8E284">
      <w:start w:val="2017"/>
      <w:numFmt w:val="bullet"/>
      <w:lvlText w:val="-"/>
      <w:lvlJc w:val="left"/>
      <w:pPr>
        <w:ind w:left="990" w:hanging="360"/>
      </w:pPr>
      <w:rPr>
        <w:rFonts w:ascii="Calibri" w:eastAsia="Times New Roman" w:hAnsi="Calibri" w:cs="Calibri" w:hint="default"/>
      </w:rPr>
    </w:lvl>
    <w:lvl w:ilvl="1" w:tplc="0C0C0003" w:tentative="1">
      <w:start w:val="1"/>
      <w:numFmt w:val="bullet"/>
      <w:lvlText w:val="o"/>
      <w:lvlJc w:val="left"/>
      <w:pPr>
        <w:ind w:left="1710" w:hanging="360"/>
      </w:pPr>
      <w:rPr>
        <w:rFonts w:ascii="Courier New" w:hAnsi="Courier New" w:cs="Courier New" w:hint="default"/>
      </w:rPr>
    </w:lvl>
    <w:lvl w:ilvl="2" w:tplc="0C0C0005" w:tentative="1">
      <w:start w:val="1"/>
      <w:numFmt w:val="bullet"/>
      <w:lvlText w:val=""/>
      <w:lvlJc w:val="left"/>
      <w:pPr>
        <w:ind w:left="2430" w:hanging="360"/>
      </w:pPr>
      <w:rPr>
        <w:rFonts w:ascii="Wingdings" w:hAnsi="Wingdings" w:hint="default"/>
      </w:rPr>
    </w:lvl>
    <w:lvl w:ilvl="3" w:tplc="0C0C0001" w:tentative="1">
      <w:start w:val="1"/>
      <w:numFmt w:val="bullet"/>
      <w:lvlText w:val=""/>
      <w:lvlJc w:val="left"/>
      <w:pPr>
        <w:ind w:left="3150" w:hanging="360"/>
      </w:pPr>
      <w:rPr>
        <w:rFonts w:ascii="Symbol" w:hAnsi="Symbol" w:hint="default"/>
      </w:rPr>
    </w:lvl>
    <w:lvl w:ilvl="4" w:tplc="0C0C0003" w:tentative="1">
      <w:start w:val="1"/>
      <w:numFmt w:val="bullet"/>
      <w:lvlText w:val="o"/>
      <w:lvlJc w:val="left"/>
      <w:pPr>
        <w:ind w:left="3870" w:hanging="360"/>
      </w:pPr>
      <w:rPr>
        <w:rFonts w:ascii="Courier New" w:hAnsi="Courier New" w:cs="Courier New" w:hint="default"/>
      </w:rPr>
    </w:lvl>
    <w:lvl w:ilvl="5" w:tplc="0C0C0005" w:tentative="1">
      <w:start w:val="1"/>
      <w:numFmt w:val="bullet"/>
      <w:lvlText w:val=""/>
      <w:lvlJc w:val="left"/>
      <w:pPr>
        <w:ind w:left="4590" w:hanging="360"/>
      </w:pPr>
      <w:rPr>
        <w:rFonts w:ascii="Wingdings" w:hAnsi="Wingdings" w:hint="default"/>
      </w:rPr>
    </w:lvl>
    <w:lvl w:ilvl="6" w:tplc="0C0C0001" w:tentative="1">
      <w:start w:val="1"/>
      <w:numFmt w:val="bullet"/>
      <w:lvlText w:val=""/>
      <w:lvlJc w:val="left"/>
      <w:pPr>
        <w:ind w:left="5310" w:hanging="360"/>
      </w:pPr>
      <w:rPr>
        <w:rFonts w:ascii="Symbol" w:hAnsi="Symbol" w:hint="default"/>
      </w:rPr>
    </w:lvl>
    <w:lvl w:ilvl="7" w:tplc="0C0C0003" w:tentative="1">
      <w:start w:val="1"/>
      <w:numFmt w:val="bullet"/>
      <w:lvlText w:val="o"/>
      <w:lvlJc w:val="left"/>
      <w:pPr>
        <w:ind w:left="6030" w:hanging="360"/>
      </w:pPr>
      <w:rPr>
        <w:rFonts w:ascii="Courier New" w:hAnsi="Courier New" w:cs="Courier New" w:hint="default"/>
      </w:rPr>
    </w:lvl>
    <w:lvl w:ilvl="8" w:tplc="0C0C0005" w:tentative="1">
      <w:start w:val="1"/>
      <w:numFmt w:val="bullet"/>
      <w:lvlText w:val=""/>
      <w:lvlJc w:val="left"/>
      <w:pPr>
        <w:ind w:left="6750" w:hanging="360"/>
      </w:pPr>
      <w:rPr>
        <w:rFonts w:ascii="Wingdings" w:hAnsi="Wingdings" w:hint="default"/>
      </w:rPr>
    </w:lvl>
  </w:abstractNum>
  <w:abstractNum w:abstractNumId="1" w15:restartNumberingAfterBreak="0">
    <w:nsid w:val="6A533621"/>
    <w:multiLevelType w:val="hybridMultilevel"/>
    <w:tmpl w:val="AB9880E6"/>
    <w:lvl w:ilvl="0" w:tplc="1EAE740E">
      <w:start w:val="2017"/>
      <w:numFmt w:val="bullet"/>
      <w:lvlText w:val="-"/>
      <w:lvlJc w:val="left"/>
      <w:pPr>
        <w:ind w:left="915" w:hanging="360"/>
      </w:pPr>
      <w:rPr>
        <w:rFonts w:ascii="Calibri" w:eastAsia="Times New Roman" w:hAnsi="Calibri" w:cs="Calibri" w:hint="default"/>
      </w:rPr>
    </w:lvl>
    <w:lvl w:ilvl="1" w:tplc="0C0C0003" w:tentative="1">
      <w:start w:val="1"/>
      <w:numFmt w:val="bullet"/>
      <w:lvlText w:val="o"/>
      <w:lvlJc w:val="left"/>
      <w:pPr>
        <w:ind w:left="1635" w:hanging="360"/>
      </w:pPr>
      <w:rPr>
        <w:rFonts w:ascii="Courier New" w:hAnsi="Courier New" w:cs="Courier New" w:hint="default"/>
      </w:rPr>
    </w:lvl>
    <w:lvl w:ilvl="2" w:tplc="0C0C0005" w:tentative="1">
      <w:start w:val="1"/>
      <w:numFmt w:val="bullet"/>
      <w:lvlText w:val=""/>
      <w:lvlJc w:val="left"/>
      <w:pPr>
        <w:ind w:left="2355" w:hanging="360"/>
      </w:pPr>
      <w:rPr>
        <w:rFonts w:ascii="Wingdings" w:hAnsi="Wingdings" w:hint="default"/>
      </w:rPr>
    </w:lvl>
    <w:lvl w:ilvl="3" w:tplc="0C0C0001" w:tentative="1">
      <w:start w:val="1"/>
      <w:numFmt w:val="bullet"/>
      <w:lvlText w:val=""/>
      <w:lvlJc w:val="left"/>
      <w:pPr>
        <w:ind w:left="3075" w:hanging="360"/>
      </w:pPr>
      <w:rPr>
        <w:rFonts w:ascii="Symbol" w:hAnsi="Symbol" w:hint="default"/>
      </w:rPr>
    </w:lvl>
    <w:lvl w:ilvl="4" w:tplc="0C0C0003" w:tentative="1">
      <w:start w:val="1"/>
      <w:numFmt w:val="bullet"/>
      <w:lvlText w:val="o"/>
      <w:lvlJc w:val="left"/>
      <w:pPr>
        <w:ind w:left="3795" w:hanging="360"/>
      </w:pPr>
      <w:rPr>
        <w:rFonts w:ascii="Courier New" w:hAnsi="Courier New" w:cs="Courier New" w:hint="default"/>
      </w:rPr>
    </w:lvl>
    <w:lvl w:ilvl="5" w:tplc="0C0C0005" w:tentative="1">
      <w:start w:val="1"/>
      <w:numFmt w:val="bullet"/>
      <w:lvlText w:val=""/>
      <w:lvlJc w:val="left"/>
      <w:pPr>
        <w:ind w:left="4515" w:hanging="360"/>
      </w:pPr>
      <w:rPr>
        <w:rFonts w:ascii="Wingdings" w:hAnsi="Wingdings" w:hint="default"/>
      </w:rPr>
    </w:lvl>
    <w:lvl w:ilvl="6" w:tplc="0C0C0001" w:tentative="1">
      <w:start w:val="1"/>
      <w:numFmt w:val="bullet"/>
      <w:lvlText w:val=""/>
      <w:lvlJc w:val="left"/>
      <w:pPr>
        <w:ind w:left="5235" w:hanging="360"/>
      </w:pPr>
      <w:rPr>
        <w:rFonts w:ascii="Symbol" w:hAnsi="Symbol" w:hint="default"/>
      </w:rPr>
    </w:lvl>
    <w:lvl w:ilvl="7" w:tplc="0C0C0003" w:tentative="1">
      <w:start w:val="1"/>
      <w:numFmt w:val="bullet"/>
      <w:lvlText w:val="o"/>
      <w:lvlJc w:val="left"/>
      <w:pPr>
        <w:ind w:left="5955" w:hanging="360"/>
      </w:pPr>
      <w:rPr>
        <w:rFonts w:ascii="Courier New" w:hAnsi="Courier New" w:cs="Courier New" w:hint="default"/>
      </w:rPr>
    </w:lvl>
    <w:lvl w:ilvl="8" w:tplc="0C0C0005" w:tentative="1">
      <w:start w:val="1"/>
      <w:numFmt w:val="bullet"/>
      <w:lvlText w:val=""/>
      <w:lvlJc w:val="left"/>
      <w:pPr>
        <w:ind w:left="6675" w:hanging="360"/>
      </w:pPr>
      <w:rPr>
        <w:rFonts w:ascii="Wingdings" w:hAnsi="Wingdings" w:hint="default"/>
      </w:rPr>
    </w:lvl>
  </w:abstractNum>
  <w:abstractNum w:abstractNumId="2" w15:restartNumberingAfterBreak="0">
    <w:nsid w:val="6AE34A73"/>
    <w:multiLevelType w:val="hybridMultilevel"/>
    <w:tmpl w:val="CB309696"/>
    <w:lvl w:ilvl="0" w:tplc="846A6674">
      <w:start w:val="2017"/>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D14"/>
    <w:rsid w:val="00001414"/>
    <w:rsid w:val="000024DD"/>
    <w:rsid w:val="000053A6"/>
    <w:rsid w:val="0000619B"/>
    <w:rsid w:val="000A4038"/>
    <w:rsid w:val="000E4B89"/>
    <w:rsid w:val="001A3EA6"/>
    <w:rsid w:val="001D73D9"/>
    <w:rsid w:val="00216C87"/>
    <w:rsid w:val="00242140"/>
    <w:rsid w:val="00273258"/>
    <w:rsid w:val="00306D18"/>
    <w:rsid w:val="00311681"/>
    <w:rsid w:val="00322ECE"/>
    <w:rsid w:val="003450C2"/>
    <w:rsid w:val="00380B88"/>
    <w:rsid w:val="00395C53"/>
    <w:rsid w:val="003C013E"/>
    <w:rsid w:val="003C7AE3"/>
    <w:rsid w:val="003F1083"/>
    <w:rsid w:val="00414689"/>
    <w:rsid w:val="00425BB4"/>
    <w:rsid w:val="0043615D"/>
    <w:rsid w:val="00441A6D"/>
    <w:rsid w:val="00450D6F"/>
    <w:rsid w:val="004964BB"/>
    <w:rsid w:val="004B497A"/>
    <w:rsid w:val="0051305B"/>
    <w:rsid w:val="0051402C"/>
    <w:rsid w:val="005325A5"/>
    <w:rsid w:val="00576333"/>
    <w:rsid w:val="005967DD"/>
    <w:rsid w:val="005D01D2"/>
    <w:rsid w:val="005E184C"/>
    <w:rsid w:val="00632EDA"/>
    <w:rsid w:val="006359B2"/>
    <w:rsid w:val="0067266A"/>
    <w:rsid w:val="00680801"/>
    <w:rsid w:val="0076643B"/>
    <w:rsid w:val="00766D14"/>
    <w:rsid w:val="00794A1B"/>
    <w:rsid w:val="007A15B1"/>
    <w:rsid w:val="007A505A"/>
    <w:rsid w:val="007B5EFD"/>
    <w:rsid w:val="007F1F42"/>
    <w:rsid w:val="007F7ADA"/>
    <w:rsid w:val="00800AEF"/>
    <w:rsid w:val="008712F4"/>
    <w:rsid w:val="0087533B"/>
    <w:rsid w:val="008E229E"/>
    <w:rsid w:val="00937B93"/>
    <w:rsid w:val="00966277"/>
    <w:rsid w:val="00975FFF"/>
    <w:rsid w:val="009A16DD"/>
    <w:rsid w:val="009A4CFE"/>
    <w:rsid w:val="00A661C1"/>
    <w:rsid w:val="00AB324D"/>
    <w:rsid w:val="00B825D4"/>
    <w:rsid w:val="00B960DB"/>
    <w:rsid w:val="00B96645"/>
    <w:rsid w:val="00BC6841"/>
    <w:rsid w:val="00C62B23"/>
    <w:rsid w:val="00C72FE2"/>
    <w:rsid w:val="00C912C9"/>
    <w:rsid w:val="00CB2C17"/>
    <w:rsid w:val="00DE7F8D"/>
    <w:rsid w:val="00E213E2"/>
    <w:rsid w:val="00E22D5B"/>
    <w:rsid w:val="00E85A31"/>
    <w:rsid w:val="00ED1A0E"/>
    <w:rsid w:val="00F41B38"/>
    <w:rsid w:val="00F50AC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143A0"/>
  <w15:chartTrackingRefBased/>
  <w15:docId w15:val="{E69A91F0-5DE4-4425-B816-91FEE455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A4C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867005680369133509s1">
    <w:name w:val="m_-867005680369133509s1"/>
    <w:basedOn w:val="Policepardfaut"/>
    <w:rsid w:val="00322ECE"/>
  </w:style>
  <w:style w:type="table" w:styleId="Grilledutableau">
    <w:name w:val="Table Grid"/>
    <w:basedOn w:val="TableauNormal"/>
    <w:uiPriority w:val="39"/>
    <w:rsid w:val="00513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1305B"/>
    <w:pPr>
      <w:ind w:left="720"/>
      <w:contextualSpacing/>
    </w:pPr>
  </w:style>
  <w:style w:type="character" w:customStyle="1" w:styleId="Titre1Car">
    <w:name w:val="Titre 1 Car"/>
    <w:basedOn w:val="Policepardfaut"/>
    <w:link w:val="Titre1"/>
    <w:uiPriority w:val="9"/>
    <w:rsid w:val="009A4CFE"/>
    <w:rPr>
      <w:rFonts w:asciiTheme="majorHAnsi" w:eastAsiaTheme="majorEastAsia" w:hAnsiTheme="majorHAnsi" w:cstheme="majorBidi"/>
      <w:color w:val="2F5496" w:themeColor="accent1" w:themeShade="BF"/>
      <w:sz w:val="32"/>
      <w:szCs w:val="32"/>
    </w:rPr>
  </w:style>
  <w:style w:type="character" w:customStyle="1" w:styleId="st">
    <w:name w:val="st"/>
    <w:basedOn w:val="Policepardfaut"/>
    <w:rsid w:val="007F7ADA"/>
  </w:style>
  <w:style w:type="character" w:styleId="Accentuation">
    <w:name w:val="Emphasis"/>
    <w:basedOn w:val="Policepardfaut"/>
    <w:uiPriority w:val="20"/>
    <w:qFormat/>
    <w:rsid w:val="007F7ADA"/>
    <w:rPr>
      <w:i/>
      <w:iCs/>
    </w:rPr>
  </w:style>
  <w:style w:type="paragraph" w:styleId="Textedebulles">
    <w:name w:val="Balloon Text"/>
    <w:basedOn w:val="Normal"/>
    <w:link w:val="TextedebullesCar"/>
    <w:uiPriority w:val="99"/>
    <w:semiHidden/>
    <w:unhideWhenUsed/>
    <w:rsid w:val="000A40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4038"/>
    <w:rPr>
      <w:rFonts w:ascii="Segoe UI" w:hAnsi="Segoe UI" w:cs="Segoe UI"/>
      <w:sz w:val="18"/>
      <w:szCs w:val="18"/>
    </w:rPr>
  </w:style>
  <w:style w:type="character" w:styleId="Lienhypertexte">
    <w:name w:val="Hyperlink"/>
    <w:basedOn w:val="Policepardfaut"/>
    <w:uiPriority w:val="99"/>
    <w:unhideWhenUsed/>
    <w:rsid w:val="0000619B"/>
    <w:rPr>
      <w:color w:val="0563C1" w:themeColor="hyperlink"/>
      <w:u w:val="single"/>
    </w:rPr>
  </w:style>
  <w:style w:type="character" w:styleId="Mentionnonrsolue">
    <w:name w:val="Unresolved Mention"/>
    <w:basedOn w:val="Policepardfaut"/>
    <w:uiPriority w:val="99"/>
    <w:semiHidden/>
    <w:unhideWhenUsed/>
    <w:rsid w:val="00006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366162">
      <w:bodyDiv w:val="1"/>
      <w:marLeft w:val="0"/>
      <w:marRight w:val="0"/>
      <w:marTop w:val="0"/>
      <w:marBottom w:val="0"/>
      <w:divBdr>
        <w:top w:val="none" w:sz="0" w:space="0" w:color="auto"/>
        <w:left w:val="none" w:sz="0" w:space="0" w:color="auto"/>
        <w:bottom w:val="none" w:sz="0" w:space="0" w:color="auto"/>
        <w:right w:val="none" w:sz="0" w:space="0" w:color="auto"/>
      </w:divBdr>
      <w:divsChild>
        <w:div w:id="1972862785">
          <w:marLeft w:val="0"/>
          <w:marRight w:val="0"/>
          <w:marTop w:val="0"/>
          <w:marBottom w:val="0"/>
          <w:divBdr>
            <w:top w:val="none" w:sz="0" w:space="0" w:color="auto"/>
            <w:left w:val="none" w:sz="0" w:space="0" w:color="auto"/>
            <w:bottom w:val="none" w:sz="0" w:space="0" w:color="auto"/>
            <w:right w:val="none" w:sz="0" w:space="0" w:color="auto"/>
          </w:divBdr>
        </w:div>
        <w:div w:id="280577591">
          <w:marLeft w:val="0"/>
          <w:marRight w:val="0"/>
          <w:marTop w:val="0"/>
          <w:marBottom w:val="0"/>
          <w:divBdr>
            <w:top w:val="none" w:sz="0" w:space="0" w:color="auto"/>
            <w:left w:val="none" w:sz="0" w:space="0" w:color="auto"/>
            <w:bottom w:val="none" w:sz="0" w:space="0" w:color="auto"/>
            <w:right w:val="none" w:sz="0" w:space="0" w:color="auto"/>
          </w:divBdr>
        </w:div>
        <w:div w:id="1188251186">
          <w:marLeft w:val="0"/>
          <w:marRight w:val="0"/>
          <w:marTop w:val="0"/>
          <w:marBottom w:val="0"/>
          <w:divBdr>
            <w:top w:val="none" w:sz="0" w:space="0" w:color="auto"/>
            <w:left w:val="none" w:sz="0" w:space="0" w:color="auto"/>
            <w:bottom w:val="none" w:sz="0" w:space="0" w:color="auto"/>
            <w:right w:val="none" w:sz="0" w:space="0" w:color="auto"/>
          </w:divBdr>
        </w:div>
        <w:div w:id="2007049309">
          <w:marLeft w:val="0"/>
          <w:marRight w:val="0"/>
          <w:marTop w:val="0"/>
          <w:marBottom w:val="0"/>
          <w:divBdr>
            <w:top w:val="none" w:sz="0" w:space="0" w:color="auto"/>
            <w:left w:val="none" w:sz="0" w:space="0" w:color="auto"/>
            <w:bottom w:val="none" w:sz="0" w:space="0" w:color="auto"/>
            <w:right w:val="none" w:sz="0" w:space="0" w:color="auto"/>
          </w:divBdr>
        </w:div>
      </w:divsChild>
    </w:div>
    <w:div w:id="191608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o/fqaW2Qg1xb?amp=1" TargetMode="External"/><Relationship Id="rId5" Type="http://schemas.openxmlformats.org/officeDocument/2006/relationships/hyperlink" Target="https://stat.gouv.qc.ca/statistiques/population-demographie/migration/internes/migration-interreg-mrc-synthese.html#tri_annee=68&amp;tri_tertr=0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904</Words>
  <Characters>4975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 </cp:lastModifiedBy>
  <cp:revision>2</cp:revision>
  <cp:lastPrinted>2020-03-09T13:13:00Z</cp:lastPrinted>
  <dcterms:created xsi:type="dcterms:W3CDTF">2020-03-12T14:37:00Z</dcterms:created>
  <dcterms:modified xsi:type="dcterms:W3CDTF">2020-03-12T14:37:00Z</dcterms:modified>
</cp:coreProperties>
</file>