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rPr/>
      </w:pPr>
      <w:bookmarkStart w:colFirst="0" w:colLast="0" w:name="_qwo09ytnqyd4" w:id="0"/>
      <w:bookmarkEnd w:id="0"/>
      <w:r w:rsidDel="00000000" w:rsidR="00000000" w:rsidRPr="00000000">
        <w:rPr>
          <w:rtl w:val="0"/>
        </w:rPr>
        <w:t xml:space="preserve">Grille - Création de la communauté de pratique</w:t>
      </w:r>
    </w:p>
    <w:p w:rsidR="00000000" w:rsidDel="00000000" w:rsidP="00000000" w:rsidRDefault="00000000" w:rsidRPr="00000000" w14:paraId="00000002">
      <w:pPr>
        <w:spacing w:after="200" w:lineRule="auto"/>
        <w:rPr/>
      </w:pPr>
      <w:r w:rsidDel="00000000" w:rsidR="00000000" w:rsidRPr="00000000">
        <w:rPr>
          <w:rtl w:val="0"/>
        </w:rPr>
        <w:t xml:space="preserve">Les prochaines questions visent à soutenir les réflexions nécessaires pour produire une stratégie d’animation et de captation des connaissances. Elles sont issues du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Guide de conception d’une communauté de pratiques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3">
      <w:pPr>
        <w:pStyle w:val="Heading3"/>
        <w:rPr/>
      </w:pPr>
      <w:bookmarkStart w:colFirst="0" w:colLast="0" w:name="_9i2823insywg" w:id="1"/>
      <w:bookmarkEnd w:id="1"/>
      <w:r w:rsidDel="00000000" w:rsidR="00000000" w:rsidRPr="00000000">
        <w:rPr>
          <w:rtl w:val="0"/>
        </w:rPr>
        <w:t xml:space="preserve">1. Description de la communauté</w:t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1.1 Quelle est la nature de la CdP 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1.2 Quelles sont les caractéristiques de la CdP 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1.3 Quel est le mandat ?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court énoncé qui permet de saisir rapidement l’intention de la CdP et le domaine qui est couvert.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1.4 Objectifs visés ?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Quels sont les objectifs qui motivent la participation des membres à la CdP?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Réseautage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Apprentissage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Veille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Développement des compétences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Captation et transfert de connaissances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Collaboration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Création de nouvelles connaissances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Recherche de solutions innovantes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Développement d’un projet commun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Constituer une mémoire partagée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Faciliter le repérage d’information pertinente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Éviter la surcharge d’information (infobésité)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Autres: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1.5 Quels thèmes sont abordés ?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thèmes à durée limitée (3 mois)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thèmes spécifique pour sous-groupes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thèmes transversaux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1.6 Quelle est la durée de vie de la CdP 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pStyle w:val="Heading3"/>
        <w:rPr/>
      </w:pPr>
      <w:bookmarkStart w:colFirst="0" w:colLast="0" w:name="_o0zvlwa3jdk3" w:id="2"/>
      <w:bookmarkEnd w:id="2"/>
      <w:r w:rsidDel="00000000" w:rsidR="00000000" w:rsidRPr="00000000">
        <w:rPr>
          <w:rtl w:val="0"/>
        </w:rPr>
        <w:t xml:space="preserve">2. Membership</w:t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2.1 Quelle est la taille du groupe 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2.2 À qui s’adresse la CdP ?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groupe homogène (dans les postures et pratiques) et hétérogène (dans les secteurs)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7.199999999997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2.3 Quelle est la politique d’adhésion 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2.4 Quels niveaux de participation attendus ?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Alimenter plusieurs niveaux de participation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Aide à la préparation ou à l’animation des échanges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Création ou maintien des carnets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Création ou diffusion de notes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Participation minimale 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rPr/>
      </w:pPr>
      <w:bookmarkStart w:colFirst="0" w:colLast="0" w:name="_l6l01bcmencn" w:id="3"/>
      <w:bookmarkEnd w:id="3"/>
      <w:r w:rsidDel="00000000" w:rsidR="00000000" w:rsidRPr="00000000">
        <w:rPr>
          <w:rtl w:val="0"/>
        </w:rPr>
        <w:t xml:space="preserve">3. Fonctionnement</w:t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3.1 Comment fonctionne l’animation ?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Rôle qui doit être porté par une personne bien identifiée surtout lors des premières étapes de vie de la CdP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Instaurer un climat de confiance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Instaurer un climat de convivialité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Avoir un soutien à l’animation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Préparer les transitions en cas de rotation des porteurs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3.2 Quelles sont les activités ?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échanges spontanés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rencontre en personnes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rencontre virtuelle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évènement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formation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webinaire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visite terrain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période de travail collectif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3.4 Quelles connaissances sont captées ?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Types de connaissances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Compte rendu de rencontres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Synthèse de veille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Lexique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Mise en commun de ressources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Production d’outils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Production de guide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Format de production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Objectifs visés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Planifiée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Spontanée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Politique de diffusion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Carnets privés ou publics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Diffusion interne ou externe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3.5 Comment sont organisés les contenus ?</w:t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pour faciliter le repérage de l’information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3.6 Quelles sont les modalités de propriété intellectuelle ?</w:t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Privée</w:t>
            </w:r>
          </w:p>
          <w:p w:rsidR="00000000" w:rsidDel="00000000" w:rsidP="00000000" w:rsidRDefault="00000000" w:rsidRPr="00000000" w14:paraId="0000005C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Creative commons (avec ou sans possibilité de marchandisation)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3.7 Est-ce que des passerelles sont créées avec d’autres CdP 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3.8 Comment fonctionne la gouvernance ?</w:t>
            </w:r>
          </w:p>
          <w:p w:rsidR="00000000" w:rsidDel="00000000" w:rsidP="00000000" w:rsidRDefault="00000000" w:rsidRPr="00000000" w14:paraId="00000061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Modalité de pilotage</w:t>
            </w:r>
          </w:p>
          <w:p w:rsidR="00000000" w:rsidDel="00000000" w:rsidP="00000000" w:rsidRDefault="00000000" w:rsidRPr="00000000" w14:paraId="00000062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Modalité de prise de décision</w:t>
            </w:r>
          </w:p>
          <w:p w:rsidR="00000000" w:rsidDel="00000000" w:rsidP="00000000" w:rsidRDefault="00000000" w:rsidRPr="00000000" w14:paraId="00000063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Liaison entre les membres de la communauté et la direction de l’organisation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spacing w:after="20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3"/>
        <w:rPr/>
      </w:pPr>
      <w:bookmarkStart w:colFirst="0" w:colLast="0" w:name="_fmz4h374v7gt" w:id="4"/>
      <w:bookmarkEnd w:id="4"/>
      <w:r w:rsidDel="00000000" w:rsidR="00000000" w:rsidRPr="00000000">
        <w:rPr>
          <w:rtl w:val="0"/>
        </w:rPr>
        <w:t xml:space="preserve">4. Évolution</w:t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4.1 Comment évoluera la CdP ?</w:t>
            </w:r>
          </w:p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Fréquence à laquelle on révise les réponses aux questions précédentes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4.2 Comment la CdP est évaluée ?</w:t>
            </w:r>
          </w:p>
          <w:p w:rsidR="00000000" w:rsidDel="00000000" w:rsidP="00000000" w:rsidRDefault="00000000" w:rsidRPr="00000000" w14:paraId="0000006B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Développer une culture de l’évaluation et de l’autocritique</w:t>
            </w:r>
          </w:p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Objectif d’amélioration continu des processus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ork Sans ExtraBold">
    <w:embedBold w:fontKey="{00000000-0000-0000-0000-000000000000}" r:id="rId5" w:subsetted="0"/>
    <w:embedBoldItalic w:fontKey="{00000000-0000-0000-0000-000000000000}" r:id="rId6" w:subsetted="0"/>
  </w:font>
  <w:font w:name="Work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Work Sans SemiBold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Roboto Mono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Work Sans" w:cs="Work Sans" w:eastAsia="Work Sans" w:hAnsi="Work Sans"/>
        <w:color w:val="47424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300" w:before="480" w:lineRule="auto"/>
      <w:ind w:left="0" w:firstLine="0"/>
    </w:pPr>
    <w:rPr>
      <w:rFonts w:ascii="Work Sans ExtraBold" w:cs="Work Sans ExtraBold" w:eastAsia="Work Sans ExtraBold" w:hAnsi="Work Sans ExtraBold"/>
      <w:color w:val="0b3f2e"/>
      <w:sz w:val="42"/>
      <w:szCs w:val="4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500" w:lineRule="auto"/>
    </w:pPr>
    <w:rPr>
      <w:rFonts w:ascii="Work Sans" w:cs="Work Sans" w:eastAsia="Work Sans" w:hAnsi="Work Sans"/>
      <w:b w:val="1"/>
      <w:color w:val="0b3f2e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lineRule="auto"/>
    </w:pPr>
    <w:rPr>
      <w:rFonts w:ascii="Roboto Mono" w:cs="Roboto Mono" w:eastAsia="Roboto Mono" w:hAnsi="Roboto Mono"/>
      <w:color w:val="8099d9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line="240" w:lineRule="auto"/>
      <w:ind w:left="0" w:firstLine="0"/>
    </w:pPr>
    <w:rPr>
      <w:rFonts w:ascii="Work Sans SemiBold" w:cs="Work Sans SemiBold" w:eastAsia="Work Sans SemiBold" w:hAnsi="Work Sans SemiBold"/>
      <w:color w:val="0b3f2e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line="240" w:lineRule="auto"/>
      <w:ind w:left="0" w:firstLine="0"/>
    </w:pPr>
    <w:rPr>
      <w:rFonts w:ascii="Roboto Mono" w:cs="Roboto Mono" w:eastAsia="Roboto Mono" w:hAnsi="Roboto Mono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40" w:line="240" w:lineRule="auto"/>
      <w:ind w:left="0" w:firstLine="0"/>
    </w:pPr>
    <w:rPr>
      <w:rFonts w:ascii="Roboto Mono" w:cs="Roboto Mono" w:eastAsia="Roboto Mono" w:hAnsi="Roboto Mono"/>
      <w:color w:val="0b3f2e"/>
      <w:sz w:val="50"/>
      <w:szCs w:val="50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Poppins" w:cs="Poppins" w:eastAsia="Poppins" w:hAnsi="Poppins"/>
      <w:sz w:val="52"/>
      <w:szCs w:val="5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raxis.encommun.io/n/0WTYFqPxojBxrwUdVazByiuXVFQ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WorkSansSemiBold-regular.ttf"/><Relationship Id="rId10" Type="http://schemas.openxmlformats.org/officeDocument/2006/relationships/font" Target="fonts/WorkSans-boldItalic.ttf"/><Relationship Id="rId13" Type="http://schemas.openxmlformats.org/officeDocument/2006/relationships/font" Target="fonts/WorkSansSemiBold-italic.ttf"/><Relationship Id="rId12" Type="http://schemas.openxmlformats.org/officeDocument/2006/relationships/font" Target="fonts/WorkSansSemiBold-bold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WorkSans-italic.ttf"/><Relationship Id="rId15" Type="http://schemas.openxmlformats.org/officeDocument/2006/relationships/font" Target="fonts/RobotoMono-regular.ttf"/><Relationship Id="rId14" Type="http://schemas.openxmlformats.org/officeDocument/2006/relationships/font" Target="fonts/WorkSansSemiBold-boldItalic.ttf"/><Relationship Id="rId17" Type="http://schemas.openxmlformats.org/officeDocument/2006/relationships/font" Target="fonts/RobotoMono-italic.ttf"/><Relationship Id="rId16" Type="http://schemas.openxmlformats.org/officeDocument/2006/relationships/font" Target="fonts/RobotoMono-bold.ttf"/><Relationship Id="rId5" Type="http://schemas.openxmlformats.org/officeDocument/2006/relationships/font" Target="fonts/WorkSansExtraBold-bold.ttf"/><Relationship Id="rId6" Type="http://schemas.openxmlformats.org/officeDocument/2006/relationships/font" Target="fonts/WorkSansExtraBold-boldItalic.ttf"/><Relationship Id="rId18" Type="http://schemas.openxmlformats.org/officeDocument/2006/relationships/font" Target="fonts/RobotoMono-boldItalic.ttf"/><Relationship Id="rId7" Type="http://schemas.openxmlformats.org/officeDocument/2006/relationships/font" Target="fonts/WorkSans-regular.ttf"/><Relationship Id="rId8" Type="http://schemas.openxmlformats.org/officeDocument/2006/relationships/font" Target="fonts/Work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